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5" w:rsidRDefault="005615F5" w:rsidP="005615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5615F5" w:rsidRDefault="005615F5" w:rsidP="005615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ПАВЛОВСКОГО РАЙОНА АЛТАЙСКОГО КРАЯ</w:t>
      </w:r>
    </w:p>
    <w:p w:rsidR="005615F5" w:rsidRDefault="005615F5" w:rsidP="005615F5">
      <w:pPr>
        <w:jc w:val="center"/>
        <w:rPr>
          <w:b/>
          <w:sz w:val="24"/>
          <w:szCs w:val="24"/>
        </w:rPr>
      </w:pPr>
    </w:p>
    <w:p w:rsidR="005615F5" w:rsidRDefault="005615F5" w:rsidP="005615F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5615F5" w:rsidRDefault="005615F5" w:rsidP="005615F5">
      <w:pPr>
        <w:jc w:val="center"/>
        <w:rPr>
          <w:rFonts w:ascii="Arial" w:hAnsi="Arial" w:cs="Arial"/>
          <w:b/>
          <w:sz w:val="26"/>
          <w:szCs w:val="26"/>
        </w:rPr>
      </w:pPr>
    </w:p>
    <w:p w:rsidR="005615F5" w:rsidRDefault="001C6FE3" w:rsidP="005615F5">
      <w:pPr>
        <w:tabs>
          <w:tab w:val="right" w:pos="93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 </w:t>
      </w:r>
      <w:r w:rsidR="00FF5A01">
        <w:rPr>
          <w:rFonts w:ascii="Arial" w:hAnsi="Arial" w:cs="Arial"/>
          <w:sz w:val="24"/>
          <w:szCs w:val="24"/>
        </w:rPr>
        <w:t>20</w:t>
      </w:r>
      <w:r w:rsidR="00CA59F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496881">
        <w:rPr>
          <w:rFonts w:ascii="Arial" w:hAnsi="Arial" w:cs="Arial"/>
          <w:sz w:val="24"/>
          <w:szCs w:val="24"/>
        </w:rPr>
        <w:tab/>
      </w:r>
      <w:r w:rsidR="00A66545">
        <w:rPr>
          <w:rFonts w:ascii="Arial" w:hAnsi="Arial" w:cs="Arial"/>
          <w:sz w:val="24"/>
          <w:szCs w:val="24"/>
        </w:rPr>
        <w:t>№</w:t>
      </w:r>
      <w:r w:rsidR="004012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</w:t>
      </w:r>
    </w:p>
    <w:p w:rsidR="005615F5" w:rsidRDefault="005615F5" w:rsidP="005615F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Павловск</w:t>
      </w:r>
    </w:p>
    <w:p w:rsidR="00777DD4" w:rsidRDefault="00777DD4" w:rsidP="00777DD4">
      <w:pPr>
        <w:shd w:val="clear" w:color="auto" w:fill="FFFFFF"/>
        <w:ind w:right="5105"/>
        <w:jc w:val="both"/>
        <w:rPr>
          <w:sz w:val="28"/>
          <w:szCs w:val="28"/>
        </w:rPr>
      </w:pPr>
    </w:p>
    <w:p w:rsidR="00C04D5F" w:rsidRDefault="00DE4D8A" w:rsidP="00E44556">
      <w:pPr>
        <w:shd w:val="clear" w:color="auto" w:fill="FFFFFF"/>
        <w:ind w:right="4821"/>
        <w:rPr>
          <w:sz w:val="28"/>
          <w:szCs w:val="28"/>
        </w:rPr>
      </w:pPr>
      <w:r>
        <w:rPr>
          <w:sz w:val="28"/>
          <w:szCs w:val="28"/>
        </w:rPr>
        <w:t>О состоянии демографической ситуации в Павловском районе</w:t>
      </w:r>
    </w:p>
    <w:p w:rsidR="00777DD4" w:rsidRDefault="00777DD4" w:rsidP="00777DD4">
      <w:pPr>
        <w:shd w:val="clear" w:color="auto" w:fill="FFFFFF"/>
        <w:jc w:val="both"/>
        <w:rPr>
          <w:sz w:val="28"/>
          <w:szCs w:val="28"/>
        </w:rPr>
      </w:pPr>
    </w:p>
    <w:p w:rsidR="00744D4F" w:rsidRDefault="00744D4F" w:rsidP="00777DD4">
      <w:pPr>
        <w:shd w:val="clear" w:color="auto" w:fill="FFFFFF"/>
        <w:jc w:val="both"/>
        <w:rPr>
          <w:sz w:val="28"/>
          <w:szCs w:val="28"/>
        </w:rPr>
      </w:pPr>
    </w:p>
    <w:p w:rsidR="003F2EB9" w:rsidRPr="0030230D" w:rsidRDefault="00203ECD" w:rsidP="0030230D">
      <w:pPr>
        <w:shd w:val="clear" w:color="auto" w:fill="FFFFFF"/>
        <w:ind w:firstLine="709"/>
        <w:jc w:val="both"/>
        <w:rPr>
          <w:sz w:val="28"/>
          <w:szCs w:val="26"/>
        </w:rPr>
      </w:pPr>
      <w:r w:rsidRPr="00496881">
        <w:rPr>
          <w:sz w:val="28"/>
          <w:szCs w:val="26"/>
        </w:rPr>
        <w:t>В</w:t>
      </w:r>
      <w:r w:rsidR="003F2EB9" w:rsidRPr="00496881">
        <w:rPr>
          <w:sz w:val="28"/>
          <w:szCs w:val="26"/>
        </w:rPr>
        <w:t xml:space="preserve"> соответствии с</w:t>
      </w:r>
      <w:r w:rsidR="0030230D">
        <w:rPr>
          <w:sz w:val="28"/>
          <w:szCs w:val="26"/>
        </w:rPr>
        <w:t xml:space="preserve">о </w:t>
      </w:r>
      <w:r w:rsidR="003F2EB9" w:rsidRPr="00DE4D8A">
        <w:rPr>
          <w:sz w:val="28"/>
          <w:szCs w:val="28"/>
        </w:rPr>
        <w:t>стать</w:t>
      </w:r>
      <w:r w:rsidR="00CD4335" w:rsidRPr="00DE4D8A">
        <w:rPr>
          <w:sz w:val="28"/>
          <w:szCs w:val="28"/>
        </w:rPr>
        <w:t>ё</w:t>
      </w:r>
      <w:r w:rsidR="003F2EB9" w:rsidRPr="00DE4D8A">
        <w:rPr>
          <w:sz w:val="28"/>
          <w:szCs w:val="28"/>
        </w:rPr>
        <w:t>й 35 Устава муниципального образования Павловский район</w:t>
      </w:r>
      <w:r w:rsidR="00633F8D" w:rsidRPr="00DE4D8A">
        <w:rPr>
          <w:sz w:val="28"/>
          <w:szCs w:val="28"/>
        </w:rPr>
        <w:t xml:space="preserve"> Алтайского края</w:t>
      </w:r>
      <w:r w:rsidR="009A1324" w:rsidRPr="00DE4D8A">
        <w:rPr>
          <w:sz w:val="28"/>
          <w:szCs w:val="28"/>
        </w:rPr>
        <w:t>,</w:t>
      </w:r>
      <w:r w:rsidRPr="00DE4D8A">
        <w:rPr>
          <w:sz w:val="28"/>
          <w:szCs w:val="28"/>
        </w:rPr>
        <w:t xml:space="preserve"> заслушав</w:t>
      </w:r>
      <w:r w:rsidR="003F2EB9" w:rsidRPr="00DE4D8A">
        <w:rPr>
          <w:sz w:val="28"/>
          <w:szCs w:val="28"/>
        </w:rPr>
        <w:t xml:space="preserve"> </w:t>
      </w:r>
      <w:r w:rsidR="0030230D">
        <w:rPr>
          <w:sz w:val="28"/>
          <w:szCs w:val="28"/>
        </w:rPr>
        <w:t xml:space="preserve">информацию заместителя председателя </w:t>
      </w:r>
      <w:r w:rsidR="00210C3F">
        <w:rPr>
          <w:sz w:val="28"/>
          <w:szCs w:val="28"/>
        </w:rPr>
        <w:t>Собрания депутатов района Агеева О.В.</w:t>
      </w:r>
      <w:r w:rsidR="003F2EB9" w:rsidRPr="00DE4D8A">
        <w:rPr>
          <w:sz w:val="28"/>
          <w:szCs w:val="28"/>
        </w:rPr>
        <w:t xml:space="preserve">, Собрание депутатов района </w:t>
      </w:r>
      <w:r w:rsidR="003F2EB9" w:rsidRPr="00DE4D8A">
        <w:rPr>
          <w:spacing w:val="40"/>
          <w:sz w:val="28"/>
          <w:szCs w:val="28"/>
        </w:rPr>
        <w:t>решае</w:t>
      </w:r>
      <w:r w:rsidR="003F2EB9" w:rsidRPr="00DE4D8A">
        <w:rPr>
          <w:sz w:val="28"/>
          <w:szCs w:val="28"/>
        </w:rPr>
        <w:t>т:</w:t>
      </w:r>
    </w:p>
    <w:p w:rsidR="003F2EB9" w:rsidRPr="00DE4D8A" w:rsidRDefault="00DE4D8A" w:rsidP="00DE4D8A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E4D8A">
        <w:rPr>
          <w:sz w:val="28"/>
          <w:szCs w:val="28"/>
        </w:rPr>
        <w:t>Принять к сведению отчет о реализации мероприятий в сфере демографической политики</w:t>
      </w:r>
      <w:r>
        <w:rPr>
          <w:sz w:val="28"/>
          <w:szCs w:val="28"/>
        </w:rPr>
        <w:t xml:space="preserve"> </w:t>
      </w:r>
      <w:r w:rsidR="00210C3F">
        <w:rPr>
          <w:sz w:val="28"/>
          <w:szCs w:val="28"/>
        </w:rPr>
        <w:t xml:space="preserve">в Павловском районе </w:t>
      </w:r>
      <w:r>
        <w:rPr>
          <w:sz w:val="28"/>
          <w:szCs w:val="28"/>
        </w:rPr>
        <w:t>(приложение)</w:t>
      </w:r>
      <w:r w:rsidRPr="00DE4D8A">
        <w:rPr>
          <w:sz w:val="28"/>
          <w:szCs w:val="28"/>
        </w:rPr>
        <w:t>.</w:t>
      </w:r>
    </w:p>
    <w:p w:rsidR="003F2EB9" w:rsidRPr="00DE4D8A" w:rsidRDefault="00DE4D8A" w:rsidP="00DE4D8A">
      <w:pPr>
        <w:numPr>
          <w:ilvl w:val="0"/>
          <w:numId w:val="9"/>
        </w:numPr>
        <w:shd w:val="clear" w:color="auto" w:fill="FFFFFF"/>
        <w:tabs>
          <w:tab w:val="left" w:pos="993"/>
          <w:tab w:val="left" w:pos="1058"/>
        </w:tabs>
        <w:ind w:left="0" w:firstLine="709"/>
        <w:jc w:val="both"/>
        <w:rPr>
          <w:sz w:val="28"/>
          <w:szCs w:val="28"/>
        </w:rPr>
      </w:pPr>
      <w:r w:rsidRPr="00DE4D8A">
        <w:rPr>
          <w:sz w:val="28"/>
          <w:szCs w:val="28"/>
        </w:rPr>
        <w:t>Контроль за исполнением настоящего решения возложить на комиссию по социальной политике (Пальчикова О.С.).</w:t>
      </w:r>
    </w:p>
    <w:p w:rsidR="003F2EB9" w:rsidRPr="00325910" w:rsidRDefault="003F2EB9" w:rsidP="003F2EB9">
      <w:pPr>
        <w:shd w:val="clear" w:color="auto" w:fill="FFFFFF"/>
        <w:tabs>
          <w:tab w:val="left" w:pos="7700"/>
        </w:tabs>
        <w:jc w:val="both"/>
        <w:rPr>
          <w:color w:val="FF0000"/>
          <w:sz w:val="28"/>
          <w:szCs w:val="26"/>
        </w:rPr>
      </w:pPr>
    </w:p>
    <w:p w:rsidR="003F2EB9" w:rsidRDefault="003F2EB9" w:rsidP="003F2EB9">
      <w:pPr>
        <w:shd w:val="clear" w:color="auto" w:fill="FFFFFF"/>
        <w:tabs>
          <w:tab w:val="left" w:pos="7700"/>
        </w:tabs>
        <w:jc w:val="both"/>
        <w:rPr>
          <w:sz w:val="28"/>
          <w:szCs w:val="26"/>
        </w:rPr>
      </w:pPr>
    </w:p>
    <w:p w:rsidR="00777DD4" w:rsidRDefault="00777DD4" w:rsidP="00777DD4">
      <w:pPr>
        <w:shd w:val="clear" w:color="auto" w:fill="FFFFFF"/>
        <w:tabs>
          <w:tab w:val="right" w:pos="9639"/>
        </w:tabs>
        <w:jc w:val="both"/>
        <w:rPr>
          <w:sz w:val="28"/>
          <w:szCs w:val="28"/>
        </w:rPr>
      </w:pPr>
    </w:p>
    <w:p w:rsidR="0098702C" w:rsidRDefault="0098702C" w:rsidP="000F6F47">
      <w:pPr>
        <w:shd w:val="clear" w:color="auto" w:fill="FFFFFF"/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F6F47" w:rsidRDefault="0098702C" w:rsidP="00E44556">
      <w:pPr>
        <w:shd w:val="clear" w:color="auto" w:fill="FFFFFF"/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района</w:t>
      </w:r>
      <w:r w:rsidR="000F6F47">
        <w:rPr>
          <w:sz w:val="28"/>
          <w:szCs w:val="28"/>
        </w:rPr>
        <w:tab/>
      </w:r>
      <w:r w:rsidR="00500516">
        <w:rPr>
          <w:sz w:val="28"/>
          <w:szCs w:val="28"/>
        </w:rPr>
        <w:t>О.В. Попова</w:t>
      </w:r>
    </w:p>
    <w:p w:rsidR="00356FE7" w:rsidRDefault="00356FE7" w:rsidP="00043F49">
      <w:pPr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FE4B85" w:rsidRDefault="00356FE7" w:rsidP="00043F4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  <w:r w:rsidR="00FE4B85">
        <w:rPr>
          <w:sz w:val="28"/>
          <w:szCs w:val="28"/>
        </w:rPr>
        <w:t xml:space="preserve">Павловского </w:t>
      </w:r>
      <w:r>
        <w:rPr>
          <w:sz w:val="28"/>
          <w:szCs w:val="28"/>
        </w:rPr>
        <w:t xml:space="preserve">района </w:t>
      </w:r>
    </w:p>
    <w:p w:rsidR="00356FE7" w:rsidRDefault="00356FE7" w:rsidP="00043F4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6FE3">
        <w:rPr>
          <w:sz w:val="28"/>
          <w:szCs w:val="28"/>
        </w:rPr>
        <w:t>_______</w:t>
      </w:r>
      <w:r w:rsidR="00496881">
        <w:rPr>
          <w:sz w:val="28"/>
          <w:szCs w:val="28"/>
        </w:rPr>
        <w:t>20</w:t>
      </w:r>
      <w:r w:rsidR="00CA59F8">
        <w:rPr>
          <w:sz w:val="28"/>
          <w:szCs w:val="28"/>
        </w:rPr>
        <w:t>2</w:t>
      </w:r>
      <w:r w:rsidR="001C6FE3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5B08CD">
        <w:rPr>
          <w:sz w:val="28"/>
          <w:szCs w:val="28"/>
        </w:rPr>
        <w:t xml:space="preserve"> </w:t>
      </w:r>
      <w:r w:rsidR="001C6FE3">
        <w:rPr>
          <w:sz w:val="28"/>
          <w:szCs w:val="28"/>
        </w:rPr>
        <w:t>____</w:t>
      </w:r>
    </w:p>
    <w:p w:rsidR="00CA59F8" w:rsidRDefault="00CA59F8" w:rsidP="00356FE7">
      <w:pPr>
        <w:shd w:val="clear" w:color="auto" w:fill="FFFFFF"/>
        <w:jc w:val="both"/>
        <w:rPr>
          <w:bCs/>
          <w:sz w:val="28"/>
          <w:szCs w:val="28"/>
        </w:rPr>
      </w:pPr>
    </w:p>
    <w:p w:rsidR="00614235" w:rsidRPr="00433B3B" w:rsidRDefault="00614235" w:rsidP="00356FE7">
      <w:pPr>
        <w:shd w:val="clear" w:color="auto" w:fill="FFFFFF"/>
        <w:jc w:val="both"/>
        <w:rPr>
          <w:bCs/>
          <w:sz w:val="28"/>
          <w:szCs w:val="28"/>
        </w:rPr>
      </w:pPr>
    </w:p>
    <w:p w:rsidR="00DE4D8A" w:rsidRPr="00DE4D8A" w:rsidRDefault="00DE4D8A" w:rsidP="00DE4D8A">
      <w:pPr>
        <w:jc w:val="center"/>
        <w:rPr>
          <w:sz w:val="28"/>
          <w:szCs w:val="28"/>
        </w:rPr>
      </w:pPr>
      <w:r w:rsidRPr="00DE4D8A">
        <w:rPr>
          <w:sz w:val="28"/>
          <w:szCs w:val="28"/>
        </w:rPr>
        <w:t xml:space="preserve">Отчет </w:t>
      </w:r>
    </w:p>
    <w:p w:rsidR="00210C3F" w:rsidRDefault="00DE4D8A" w:rsidP="00DE4D8A">
      <w:pPr>
        <w:jc w:val="center"/>
        <w:rPr>
          <w:sz w:val="28"/>
          <w:szCs w:val="28"/>
        </w:rPr>
      </w:pPr>
      <w:r w:rsidRPr="00DE4D8A">
        <w:rPr>
          <w:sz w:val="28"/>
          <w:szCs w:val="28"/>
        </w:rPr>
        <w:t>о реализации мероприятий в сфере демографической политики</w:t>
      </w:r>
      <w:r w:rsidR="00210C3F">
        <w:rPr>
          <w:sz w:val="28"/>
          <w:szCs w:val="28"/>
        </w:rPr>
        <w:t xml:space="preserve"> </w:t>
      </w:r>
    </w:p>
    <w:p w:rsidR="00DE4D8A" w:rsidRPr="00DE4D8A" w:rsidRDefault="00210C3F" w:rsidP="00DE4D8A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Павловском районе</w:t>
      </w:r>
    </w:p>
    <w:p w:rsidR="00DE4D8A" w:rsidRDefault="00DE4D8A" w:rsidP="00DE4D8A">
      <w:pPr>
        <w:ind w:firstLine="709"/>
        <w:jc w:val="center"/>
        <w:rPr>
          <w:sz w:val="28"/>
          <w:szCs w:val="28"/>
        </w:rPr>
      </w:pPr>
    </w:p>
    <w:p w:rsidR="00DE4D8A" w:rsidRDefault="00DE4D8A" w:rsidP="00DE4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</w:t>
      </w:r>
      <w:r w:rsidRPr="00664183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района на 31 декабря 2022 года составляет 35207 человек, что на 1005 человек меньше в сравнении с 2021</w:t>
      </w:r>
      <w:r w:rsidR="00600991">
        <w:rPr>
          <w:sz w:val="28"/>
          <w:szCs w:val="28"/>
        </w:rPr>
        <w:t xml:space="preserve"> годом</w:t>
      </w:r>
      <w:r>
        <w:rPr>
          <w:sz w:val="28"/>
          <w:szCs w:val="28"/>
        </w:rPr>
        <w:t>. Снижение количества населения объясняется ростом смертности, снижением рождаемости и естественной миграцией населения.</w:t>
      </w:r>
    </w:p>
    <w:p w:rsidR="00DE4D8A" w:rsidRPr="00600991" w:rsidRDefault="00DE4D8A" w:rsidP="00DE4D8A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DE4D8A" w:rsidRDefault="00DE4D8A" w:rsidP="00DE4D8A">
      <w:pPr>
        <w:overflowPunct w:val="0"/>
        <w:jc w:val="center"/>
        <w:textAlignment w:val="baseline"/>
        <w:rPr>
          <w:b/>
          <w:sz w:val="28"/>
          <w:szCs w:val="28"/>
          <w:lang w:eastAsia="ar-SA"/>
        </w:rPr>
      </w:pPr>
      <w:r w:rsidRPr="00DE4D8A">
        <w:rPr>
          <w:b/>
          <w:sz w:val="28"/>
          <w:szCs w:val="28"/>
          <w:lang w:eastAsia="ar-SA"/>
        </w:rPr>
        <w:t>Демографическая характеристика:</w:t>
      </w:r>
    </w:p>
    <w:p w:rsidR="00600991" w:rsidRPr="00600991" w:rsidRDefault="00600991" w:rsidP="00DE4D8A">
      <w:pPr>
        <w:overflowPunct w:val="0"/>
        <w:jc w:val="center"/>
        <w:textAlignment w:val="baseline"/>
        <w:rPr>
          <w:b/>
          <w:sz w:val="16"/>
          <w:szCs w:val="16"/>
          <w:lang w:eastAsia="ar-SA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3191"/>
        <w:gridCol w:w="1487"/>
        <w:gridCol w:w="1418"/>
        <w:gridCol w:w="1417"/>
        <w:gridCol w:w="1701"/>
      </w:tblGrid>
      <w:tr w:rsidR="00DE4D8A" w:rsidRPr="00664183" w:rsidTr="00E44556"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D8A" w:rsidRPr="00664183" w:rsidRDefault="00DE4D8A" w:rsidP="00D400B8">
            <w:pPr>
              <w:overflowPunct w:val="0"/>
              <w:snapToGrid w:val="0"/>
              <w:jc w:val="center"/>
              <w:textAlignment w:val="baseline"/>
              <w:rPr>
                <w:b/>
                <w:lang w:eastAsia="ar-SA"/>
              </w:rPr>
            </w:pPr>
            <w:r w:rsidRPr="00664183">
              <w:rPr>
                <w:b/>
                <w:lang w:eastAsia="ar-SA"/>
              </w:rPr>
              <w:t>Население</w:t>
            </w:r>
          </w:p>
        </w:tc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D8A" w:rsidRPr="00664183" w:rsidRDefault="00DE4D8A" w:rsidP="00D400B8">
            <w:pPr>
              <w:overflowPunct w:val="0"/>
              <w:snapToGrid w:val="0"/>
              <w:jc w:val="center"/>
              <w:textAlignment w:val="baseline"/>
              <w:rPr>
                <w:b/>
                <w:lang w:eastAsia="ar-SA"/>
              </w:rPr>
            </w:pPr>
            <w:r w:rsidRPr="00664183">
              <w:rPr>
                <w:b/>
                <w:lang w:eastAsia="ar-SA"/>
              </w:rPr>
              <w:t xml:space="preserve">Г о </w:t>
            </w:r>
            <w:proofErr w:type="spellStart"/>
            <w:r w:rsidRPr="00664183">
              <w:rPr>
                <w:b/>
                <w:lang w:eastAsia="ar-SA"/>
              </w:rPr>
              <w:t>д</w:t>
            </w:r>
            <w:proofErr w:type="spellEnd"/>
            <w:r w:rsidRPr="00664183">
              <w:rPr>
                <w:b/>
                <w:lang w:eastAsia="ar-SA"/>
              </w:rPr>
              <w:t xml:space="preserve"> </w:t>
            </w:r>
            <w:proofErr w:type="spellStart"/>
            <w:r w:rsidRPr="00664183">
              <w:rPr>
                <w:b/>
                <w:lang w:eastAsia="ar-SA"/>
              </w:rPr>
              <w:t>ы</w:t>
            </w:r>
            <w:proofErr w:type="spellEnd"/>
          </w:p>
        </w:tc>
      </w:tr>
      <w:tr w:rsidR="00DE4D8A" w:rsidRPr="00664183" w:rsidTr="00E44556"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D8A" w:rsidRPr="00664183" w:rsidRDefault="00DE4D8A" w:rsidP="00D400B8">
            <w:pPr>
              <w:overflowPunct w:val="0"/>
              <w:snapToGrid w:val="0"/>
              <w:jc w:val="center"/>
              <w:textAlignment w:val="baseline"/>
              <w:rPr>
                <w:b/>
                <w:lang w:eastAsia="ar-S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D8A" w:rsidRPr="00664183" w:rsidRDefault="00DE4D8A" w:rsidP="00D400B8">
            <w:pPr>
              <w:overflowPunct w:val="0"/>
              <w:snapToGrid w:val="0"/>
              <w:jc w:val="center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D8A" w:rsidRPr="00664183" w:rsidRDefault="00DE4D8A" w:rsidP="00D400B8">
            <w:pPr>
              <w:overflowPunct w:val="0"/>
              <w:snapToGrid w:val="0"/>
              <w:jc w:val="center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D8A" w:rsidRDefault="00DE4D8A" w:rsidP="00D400B8">
            <w:pPr>
              <w:overflowPunct w:val="0"/>
              <w:snapToGrid w:val="0"/>
              <w:jc w:val="center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D8A" w:rsidRDefault="00DE4D8A" w:rsidP="00D400B8">
            <w:pPr>
              <w:overflowPunct w:val="0"/>
              <w:snapToGrid w:val="0"/>
              <w:jc w:val="center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2022</w:t>
            </w:r>
          </w:p>
        </w:tc>
      </w:tr>
      <w:tr w:rsidR="00DE4D8A" w:rsidRPr="00664183" w:rsidTr="00E44556">
        <w:trPr>
          <w:trHeight w:val="8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D8A" w:rsidRPr="00664183" w:rsidRDefault="00DE4D8A" w:rsidP="00D400B8">
            <w:pPr>
              <w:overflowPunct w:val="0"/>
              <w:snapToGrid w:val="0"/>
              <w:textAlignment w:val="baseline"/>
              <w:rPr>
                <w:lang w:eastAsia="ar-SA"/>
              </w:rPr>
            </w:pPr>
            <w:r w:rsidRPr="00664183">
              <w:rPr>
                <w:lang w:eastAsia="ar-SA"/>
              </w:rPr>
              <w:t>Дети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D8A" w:rsidRPr="00664183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7961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D8A" w:rsidRPr="00664183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7846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D8A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7763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D8A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6253</w:t>
            </w:r>
          </w:p>
        </w:tc>
      </w:tr>
      <w:tr w:rsidR="00DE4D8A" w:rsidRPr="00664183" w:rsidTr="00E44556">
        <w:trPr>
          <w:trHeight w:val="8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D8A" w:rsidRPr="00664183" w:rsidRDefault="00DE4D8A" w:rsidP="00D400B8">
            <w:pPr>
              <w:overflowPunct w:val="0"/>
              <w:snapToGrid w:val="0"/>
              <w:textAlignment w:val="baseline"/>
              <w:rPr>
                <w:lang w:eastAsia="ar-SA"/>
              </w:rPr>
            </w:pPr>
            <w:r w:rsidRPr="00664183">
              <w:rPr>
                <w:lang w:eastAsia="ar-SA"/>
              </w:rPr>
              <w:t>Подростки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D8A" w:rsidRPr="00664183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1338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D8A" w:rsidRPr="00664183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1317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D8A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1347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D8A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1331</w:t>
            </w:r>
          </w:p>
        </w:tc>
      </w:tr>
      <w:tr w:rsidR="00DE4D8A" w:rsidRPr="00664183" w:rsidTr="00E44556">
        <w:trPr>
          <w:trHeight w:val="8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D8A" w:rsidRPr="00664183" w:rsidRDefault="00DE4D8A" w:rsidP="00D400B8">
            <w:pPr>
              <w:overflowPunct w:val="0"/>
              <w:snapToGrid w:val="0"/>
              <w:textAlignment w:val="baseline"/>
              <w:rPr>
                <w:lang w:eastAsia="ar-SA"/>
              </w:rPr>
            </w:pPr>
            <w:r w:rsidRPr="00664183">
              <w:rPr>
                <w:lang w:eastAsia="ar-SA"/>
              </w:rPr>
              <w:t>Взрослые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D8A" w:rsidRPr="00664183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28304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D8A" w:rsidRPr="00664183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28421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D8A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28449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D8A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27623</w:t>
            </w:r>
          </w:p>
        </w:tc>
      </w:tr>
      <w:tr w:rsidR="00DE4D8A" w:rsidRPr="00664183" w:rsidTr="00E44556">
        <w:trPr>
          <w:trHeight w:val="8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D8A" w:rsidRPr="00664183" w:rsidRDefault="00DE4D8A" w:rsidP="00D400B8">
            <w:pPr>
              <w:overflowPunct w:val="0"/>
              <w:snapToGrid w:val="0"/>
              <w:textAlignment w:val="baseline"/>
              <w:rPr>
                <w:lang w:eastAsia="ar-SA"/>
              </w:rPr>
            </w:pPr>
            <w:r w:rsidRPr="00664183">
              <w:rPr>
                <w:lang w:eastAsia="ar-SA"/>
              </w:rPr>
              <w:t>Мужчины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D8A" w:rsidRPr="00664183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17134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D8A" w:rsidRPr="00664183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13154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D8A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13191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D8A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12707</w:t>
            </w:r>
          </w:p>
        </w:tc>
      </w:tr>
      <w:tr w:rsidR="00DE4D8A" w:rsidRPr="00664183" w:rsidTr="00E44556">
        <w:trPr>
          <w:trHeight w:val="8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D8A" w:rsidRPr="00664183" w:rsidRDefault="00DE4D8A" w:rsidP="00D400B8">
            <w:pPr>
              <w:overflowPunct w:val="0"/>
              <w:snapToGrid w:val="0"/>
              <w:textAlignment w:val="baseline"/>
              <w:rPr>
                <w:lang w:eastAsia="ar-SA"/>
              </w:rPr>
            </w:pPr>
            <w:r w:rsidRPr="00664183">
              <w:rPr>
                <w:lang w:eastAsia="ar-SA"/>
              </w:rPr>
              <w:t>Женщины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D8A" w:rsidRPr="00664183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19131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D8A" w:rsidRPr="00664183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15267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D8A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15258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D8A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14916</w:t>
            </w:r>
          </w:p>
        </w:tc>
      </w:tr>
      <w:tr w:rsidR="00DE4D8A" w:rsidRPr="00664183" w:rsidTr="00E44556">
        <w:trPr>
          <w:trHeight w:val="8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D8A" w:rsidRPr="00664183" w:rsidRDefault="00DE4D8A" w:rsidP="00600991">
            <w:pPr>
              <w:overflowPunct w:val="0"/>
              <w:snapToGrid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Женщины</w:t>
            </w:r>
            <w:r w:rsidR="00600991">
              <w:rPr>
                <w:lang w:eastAsia="ar-SA"/>
              </w:rPr>
              <w:t xml:space="preserve"> ф</w:t>
            </w:r>
            <w:r>
              <w:rPr>
                <w:lang w:eastAsia="ar-SA"/>
              </w:rPr>
              <w:t>ертильного возраста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D8A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7602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D8A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7543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D8A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7636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D8A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7374</w:t>
            </w:r>
          </w:p>
        </w:tc>
      </w:tr>
      <w:tr w:rsidR="00DE4D8A" w:rsidRPr="00664183" w:rsidTr="00E44556">
        <w:trPr>
          <w:trHeight w:val="8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D8A" w:rsidRPr="00664183" w:rsidRDefault="00DE4D8A" w:rsidP="00D400B8">
            <w:pPr>
              <w:overflowPunct w:val="0"/>
              <w:snapToGrid w:val="0"/>
              <w:textAlignment w:val="baseline"/>
              <w:rPr>
                <w:lang w:eastAsia="ar-SA"/>
              </w:rPr>
            </w:pPr>
            <w:r w:rsidRPr="00664183">
              <w:rPr>
                <w:lang w:eastAsia="ar-SA"/>
              </w:rPr>
              <w:t>Всего: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D8A" w:rsidRPr="00664183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36265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D8A" w:rsidRPr="00664183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36267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D8A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36212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D8A" w:rsidRDefault="00DE4D8A" w:rsidP="00D400B8">
            <w:pPr>
              <w:overflowPunct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35207</w:t>
            </w:r>
          </w:p>
        </w:tc>
      </w:tr>
    </w:tbl>
    <w:p w:rsidR="00DE4D8A" w:rsidRDefault="00DE4D8A" w:rsidP="00DE4D8A"/>
    <w:p w:rsidR="00DE4D8A" w:rsidRPr="00232180" w:rsidRDefault="00DE4D8A" w:rsidP="00232180">
      <w:pPr>
        <w:overflowPunct w:val="0"/>
        <w:ind w:firstLine="709"/>
        <w:contextualSpacing/>
        <w:jc w:val="both"/>
        <w:textAlignment w:val="baseline"/>
        <w:rPr>
          <w:sz w:val="28"/>
          <w:szCs w:val="28"/>
          <w:lang w:eastAsia="ar-SA"/>
        </w:rPr>
      </w:pPr>
      <w:r w:rsidRPr="00232180">
        <w:rPr>
          <w:sz w:val="28"/>
          <w:szCs w:val="28"/>
          <w:lang w:eastAsia="ar-SA"/>
        </w:rPr>
        <w:t>В структуре населения на 2022 год доля взрослых составляет – 78,4 %,</w:t>
      </w:r>
      <w:r w:rsidR="00E44556">
        <w:rPr>
          <w:sz w:val="28"/>
          <w:szCs w:val="28"/>
          <w:lang w:eastAsia="ar-SA"/>
        </w:rPr>
        <w:t xml:space="preserve"> </w:t>
      </w:r>
      <w:r w:rsidRPr="00232180">
        <w:rPr>
          <w:sz w:val="28"/>
          <w:szCs w:val="28"/>
          <w:lang w:eastAsia="ar-SA"/>
        </w:rPr>
        <w:t>трудоспособное население 17562 (63,5%), старше трудоспособного возраста</w:t>
      </w:r>
      <w:r w:rsidR="00210C3F">
        <w:rPr>
          <w:sz w:val="28"/>
          <w:szCs w:val="28"/>
          <w:lang w:eastAsia="ar-SA"/>
        </w:rPr>
        <w:t xml:space="preserve"> </w:t>
      </w:r>
      <w:r w:rsidR="0041021E">
        <w:rPr>
          <w:sz w:val="28"/>
          <w:szCs w:val="28"/>
          <w:lang w:eastAsia="ar-SA"/>
        </w:rPr>
        <w:t>–</w:t>
      </w:r>
      <w:r w:rsidRPr="00232180">
        <w:rPr>
          <w:sz w:val="28"/>
          <w:szCs w:val="28"/>
          <w:lang w:eastAsia="ar-SA"/>
        </w:rPr>
        <w:t xml:space="preserve"> 10061</w:t>
      </w:r>
      <w:r w:rsidR="0041021E">
        <w:rPr>
          <w:sz w:val="28"/>
          <w:szCs w:val="28"/>
          <w:lang w:eastAsia="ar-SA"/>
        </w:rPr>
        <w:t xml:space="preserve"> </w:t>
      </w:r>
      <w:r w:rsidRPr="00232180">
        <w:rPr>
          <w:sz w:val="28"/>
          <w:szCs w:val="28"/>
          <w:lang w:eastAsia="ar-SA"/>
        </w:rPr>
        <w:t>(36,4%), подростков – 3,7 %, детей – 21,5 %.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  <w:lang w:eastAsia="ar-SA"/>
        </w:rPr>
        <w:t>Структура КГБУЗ «Павловская ЦРБ» представлена круглосуточным стационаром на 133 ко</w:t>
      </w:r>
      <w:r w:rsidR="0041021E">
        <w:rPr>
          <w:sz w:val="28"/>
          <w:szCs w:val="28"/>
          <w:lang w:eastAsia="ar-SA"/>
        </w:rPr>
        <w:t>й</w:t>
      </w:r>
      <w:r w:rsidRPr="00232180">
        <w:rPr>
          <w:sz w:val="28"/>
          <w:szCs w:val="28"/>
          <w:lang w:eastAsia="ar-SA"/>
        </w:rPr>
        <w:t>к</w:t>
      </w:r>
      <w:r w:rsidR="0041021E">
        <w:rPr>
          <w:sz w:val="28"/>
          <w:szCs w:val="28"/>
          <w:lang w:eastAsia="ar-SA"/>
        </w:rPr>
        <w:t>и</w:t>
      </w:r>
      <w:r w:rsidRPr="00232180">
        <w:rPr>
          <w:sz w:val="28"/>
          <w:szCs w:val="28"/>
          <w:lang w:eastAsia="ar-SA"/>
        </w:rPr>
        <w:t xml:space="preserve">, дневным стационаром на 62 койки, взрослой поликлиникой на 600 посещений в сутки, детской поликлиникой на 100 посещений, </w:t>
      </w:r>
      <w:r w:rsidR="00600991" w:rsidRPr="00232180">
        <w:rPr>
          <w:sz w:val="28"/>
          <w:szCs w:val="28"/>
          <w:lang w:eastAsia="ar-SA"/>
        </w:rPr>
        <w:t>10 врачебными амбулаториями</w:t>
      </w:r>
      <w:r w:rsidRPr="00232180">
        <w:rPr>
          <w:sz w:val="28"/>
          <w:szCs w:val="28"/>
          <w:lang w:eastAsia="ar-SA"/>
        </w:rPr>
        <w:t xml:space="preserve">, 7 </w:t>
      </w:r>
      <w:proofErr w:type="spellStart"/>
      <w:r w:rsidRPr="00232180">
        <w:rPr>
          <w:sz w:val="28"/>
          <w:szCs w:val="28"/>
          <w:lang w:eastAsia="ar-SA"/>
        </w:rPr>
        <w:t>ФАП</w:t>
      </w:r>
      <w:r w:rsidR="00DC752A">
        <w:rPr>
          <w:sz w:val="28"/>
          <w:szCs w:val="28"/>
          <w:lang w:eastAsia="ar-SA"/>
        </w:rPr>
        <w:t>ами</w:t>
      </w:r>
      <w:proofErr w:type="spellEnd"/>
      <w:r w:rsidRPr="00232180">
        <w:rPr>
          <w:sz w:val="28"/>
          <w:szCs w:val="28"/>
          <w:lang w:eastAsia="ar-SA"/>
        </w:rPr>
        <w:t xml:space="preserve"> и 1 передвижн</w:t>
      </w:r>
      <w:r w:rsidR="00600991" w:rsidRPr="00232180">
        <w:rPr>
          <w:sz w:val="28"/>
          <w:szCs w:val="28"/>
          <w:lang w:eastAsia="ar-SA"/>
        </w:rPr>
        <w:t>ым</w:t>
      </w:r>
      <w:r w:rsidRPr="00232180">
        <w:rPr>
          <w:sz w:val="28"/>
          <w:szCs w:val="28"/>
          <w:lang w:eastAsia="ar-SA"/>
        </w:rPr>
        <w:t xml:space="preserve"> </w:t>
      </w:r>
      <w:proofErr w:type="spellStart"/>
      <w:r w:rsidRPr="00232180">
        <w:rPr>
          <w:sz w:val="28"/>
          <w:szCs w:val="28"/>
          <w:lang w:eastAsia="ar-SA"/>
        </w:rPr>
        <w:t>ФАП</w:t>
      </w:r>
      <w:r w:rsidR="00600991" w:rsidRPr="00232180">
        <w:rPr>
          <w:sz w:val="28"/>
          <w:szCs w:val="28"/>
          <w:lang w:eastAsia="ar-SA"/>
        </w:rPr>
        <w:t>ом</w:t>
      </w:r>
      <w:proofErr w:type="spellEnd"/>
      <w:r w:rsidRPr="00232180">
        <w:rPr>
          <w:sz w:val="28"/>
          <w:szCs w:val="28"/>
          <w:lang w:eastAsia="ar-SA"/>
        </w:rPr>
        <w:t xml:space="preserve">. В настоящее время </w:t>
      </w:r>
      <w:r w:rsidRPr="00232180">
        <w:rPr>
          <w:sz w:val="28"/>
          <w:szCs w:val="28"/>
        </w:rPr>
        <w:t>в районе сформированы 1 участок ВОП, 13 – терапевтических участков, 8 –</w:t>
      </w:r>
      <w:r w:rsidR="00E44556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педиатрических участков, что позволяет охватить всё население района.</w:t>
      </w:r>
    </w:p>
    <w:p w:rsidR="00DE4D8A" w:rsidRPr="00232180" w:rsidRDefault="00DE4D8A" w:rsidP="00232180">
      <w:pPr>
        <w:overflowPunct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232180">
        <w:rPr>
          <w:sz w:val="28"/>
          <w:szCs w:val="28"/>
        </w:rPr>
        <w:t xml:space="preserve">Обеспечение доступности первичной медико-санитарной помощи обеспечивается в первую очередь активной выездной работой врачей терапевтов, врачей педиатров, </w:t>
      </w:r>
      <w:proofErr w:type="spellStart"/>
      <w:r w:rsidRPr="00232180">
        <w:rPr>
          <w:sz w:val="28"/>
          <w:szCs w:val="28"/>
        </w:rPr>
        <w:t>акушер-гинекологов</w:t>
      </w:r>
      <w:proofErr w:type="spellEnd"/>
      <w:r w:rsidRPr="00232180">
        <w:rPr>
          <w:sz w:val="28"/>
          <w:szCs w:val="28"/>
        </w:rPr>
        <w:t>, фельдшеров по установленному графику. Так за 2022 год осуществлено 650 выездов, принято 13000 человек, в том числе терапевтами</w:t>
      </w:r>
      <w:r w:rsidR="00DC752A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-</w:t>
      </w:r>
      <w:r w:rsidR="00DC752A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3434 человек</w:t>
      </w:r>
      <w:r w:rsidR="00DC752A">
        <w:rPr>
          <w:sz w:val="28"/>
          <w:szCs w:val="28"/>
        </w:rPr>
        <w:t>а</w:t>
      </w:r>
      <w:r w:rsidRPr="00232180">
        <w:rPr>
          <w:sz w:val="28"/>
          <w:szCs w:val="28"/>
        </w:rPr>
        <w:t xml:space="preserve">, педиатрами </w:t>
      </w:r>
      <w:r w:rsidR="00DC752A">
        <w:rPr>
          <w:sz w:val="28"/>
          <w:szCs w:val="28"/>
        </w:rPr>
        <w:t xml:space="preserve">– </w:t>
      </w:r>
      <w:r w:rsidRPr="00232180">
        <w:rPr>
          <w:sz w:val="28"/>
          <w:szCs w:val="28"/>
        </w:rPr>
        <w:t>3976</w:t>
      </w:r>
      <w:r w:rsidR="00DC752A">
        <w:rPr>
          <w:sz w:val="28"/>
          <w:szCs w:val="28"/>
        </w:rPr>
        <w:t xml:space="preserve"> человек</w:t>
      </w:r>
      <w:r w:rsidRPr="00232180">
        <w:rPr>
          <w:sz w:val="28"/>
          <w:szCs w:val="28"/>
        </w:rPr>
        <w:t xml:space="preserve">, </w:t>
      </w:r>
      <w:proofErr w:type="spellStart"/>
      <w:r w:rsidRPr="00232180">
        <w:rPr>
          <w:sz w:val="28"/>
          <w:szCs w:val="28"/>
        </w:rPr>
        <w:t>акушер-гинекологами</w:t>
      </w:r>
      <w:proofErr w:type="spellEnd"/>
      <w:r w:rsidR="00DC752A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-</w:t>
      </w:r>
      <w:r w:rsidR="00DC752A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630 человек, фельдшерами</w:t>
      </w:r>
      <w:r w:rsidR="00DC752A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-</w:t>
      </w:r>
      <w:r w:rsidR="00DC752A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4960 человек. На дому осмотрено 3670 человек.</w:t>
      </w:r>
    </w:p>
    <w:p w:rsidR="00DE4D8A" w:rsidRPr="00232180" w:rsidRDefault="00DE4D8A" w:rsidP="00232180">
      <w:pPr>
        <w:overflowPunct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232180">
        <w:rPr>
          <w:sz w:val="28"/>
          <w:szCs w:val="28"/>
        </w:rPr>
        <w:t>К маломобильным пациентам при необходимости специалисты выезжают на дом.</w:t>
      </w:r>
    </w:p>
    <w:p w:rsidR="00DE4D8A" w:rsidRPr="00232180" w:rsidRDefault="00DE4D8A" w:rsidP="00232180">
      <w:pPr>
        <w:overflowPunct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232180">
        <w:rPr>
          <w:sz w:val="28"/>
          <w:szCs w:val="28"/>
        </w:rPr>
        <w:t xml:space="preserve">В отдаленных малочисленных населенных пунктах прием пациентов проводится на передвижном </w:t>
      </w:r>
      <w:proofErr w:type="spellStart"/>
      <w:r w:rsidRPr="00232180">
        <w:rPr>
          <w:sz w:val="28"/>
          <w:szCs w:val="28"/>
        </w:rPr>
        <w:t>ФАПе</w:t>
      </w:r>
      <w:proofErr w:type="spellEnd"/>
      <w:r w:rsidRPr="00232180">
        <w:rPr>
          <w:sz w:val="28"/>
          <w:szCs w:val="28"/>
        </w:rPr>
        <w:t>.</w:t>
      </w:r>
      <w:r w:rsidR="00E44556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 xml:space="preserve">В 2022 году сделано 190 выездов, </w:t>
      </w:r>
      <w:r w:rsidRPr="00232180">
        <w:rPr>
          <w:sz w:val="28"/>
          <w:szCs w:val="28"/>
        </w:rPr>
        <w:lastRenderedPageBreak/>
        <w:t>осмотрено 3985 человек.</w:t>
      </w:r>
    </w:p>
    <w:p w:rsidR="00DE4D8A" w:rsidRPr="00232180" w:rsidRDefault="00DE4D8A" w:rsidP="00232180">
      <w:pPr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  <w:r w:rsidRPr="00232180">
        <w:rPr>
          <w:sz w:val="28"/>
          <w:szCs w:val="28"/>
        </w:rPr>
        <w:t xml:space="preserve">Для профилактики возникновения неинфекционных заболеваний и раннего (своевременного) выявления факторов риска проводится диспансеризация взрослого населения, углубленная диспансеризация у пациентов перенесших </w:t>
      </w:r>
      <w:r w:rsidRPr="00232180">
        <w:rPr>
          <w:sz w:val="28"/>
          <w:szCs w:val="28"/>
          <w:lang w:val="en-US"/>
        </w:rPr>
        <w:t>COVID</w:t>
      </w:r>
      <w:r w:rsidRPr="00232180">
        <w:rPr>
          <w:sz w:val="28"/>
          <w:szCs w:val="28"/>
        </w:rPr>
        <w:t>-19 и профилактические осмотры. В структуре КГБУЗ «Павловская ЦРБ» имеется отделение медицинской профилактики. Для доступности медицинской помощи населению</w:t>
      </w:r>
      <w:r w:rsidR="00DC752A">
        <w:rPr>
          <w:sz w:val="28"/>
          <w:szCs w:val="28"/>
        </w:rPr>
        <w:t>,</w:t>
      </w:r>
      <w:r w:rsidRPr="00232180">
        <w:rPr>
          <w:sz w:val="28"/>
          <w:szCs w:val="28"/>
        </w:rPr>
        <w:t xml:space="preserve"> прием ведется и в вечернее время. Здесь ведет прием врач-терапевт. Проводится анкетирование населения для выявления факторов риска развития неинфекционных заболеваний. Пациентам раздаются памятки, информационные листовки, б</w:t>
      </w:r>
      <w:r w:rsidR="00E44556">
        <w:rPr>
          <w:sz w:val="28"/>
          <w:szCs w:val="28"/>
        </w:rPr>
        <w:t>уклеты по профилактике сердечно</w:t>
      </w:r>
      <w:r w:rsidRPr="00232180">
        <w:rPr>
          <w:sz w:val="28"/>
          <w:szCs w:val="28"/>
        </w:rPr>
        <w:t xml:space="preserve">сосудистых, онкологических заболеваний. Усилен контроль за посещением пациентами смотровых кабинетов, своевременное прохождение флюорографического исследования. Флюорографическим методом обследовано 23277 человек. Все </w:t>
      </w:r>
      <w:proofErr w:type="spellStart"/>
      <w:r w:rsidRPr="00232180">
        <w:rPr>
          <w:sz w:val="28"/>
          <w:szCs w:val="28"/>
        </w:rPr>
        <w:t>ФАПы</w:t>
      </w:r>
      <w:proofErr w:type="spellEnd"/>
      <w:r w:rsidRPr="00232180">
        <w:rPr>
          <w:sz w:val="28"/>
          <w:szCs w:val="28"/>
        </w:rPr>
        <w:t xml:space="preserve"> и ВА КГБУЗ «Павловская ЦРБ» работают в режиме смотрового кабинета. Всего на онкопатологию осмотрено 26640 человек. Выявлено ЗНО при профосмотре у 35 человек. Обследовано </w:t>
      </w:r>
      <w:r w:rsidR="00DC752A" w:rsidRPr="00232180">
        <w:rPr>
          <w:sz w:val="28"/>
          <w:szCs w:val="28"/>
        </w:rPr>
        <w:t>13726</w:t>
      </w:r>
      <w:r w:rsidR="00DC752A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женщин</w:t>
      </w:r>
      <w:r w:rsidR="00DC752A">
        <w:rPr>
          <w:sz w:val="28"/>
          <w:szCs w:val="28"/>
        </w:rPr>
        <w:t>ы</w:t>
      </w:r>
      <w:r w:rsidRPr="00232180">
        <w:rPr>
          <w:sz w:val="28"/>
          <w:szCs w:val="28"/>
        </w:rPr>
        <w:t xml:space="preserve"> на рак шейки матки.</w:t>
      </w:r>
    </w:p>
    <w:p w:rsidR="00DE4D8A" w:rsidRPr="00232180" w:rsidRDefault="00DE4D8A" w:rsidP="0023218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 xml:space="preserve">Ввиду сложившейся </w:t>
      </w:r>
      <w:r w:rsidR="00E44556" w:rsidRPr="00232180">
        <w:rPr>
          <w:sz w:val="28"/>
          <w:szCs w:val="28"/>
        </w:rPr>
        <w:t>эпидемиологической</w:t>
      </w:r>
      <w:r w:rsidRPr="00232180">
        <w:rPr>
          <w:sz w:val="28"/>
          <w:szCs w:val="28"/>
        </w:rPr>
        <w:t xml:space="preserve"> обстановки в начале 2022 года плановая помощь была ограничена.</w:t>
      </w:r>
    </w:p>
    <w:p w:rsidR="00232180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В круглосуточном стационаре ЦРБ за 2022 г. пролечено всего 3427 человек (из них 627 детей). В дневном стационаре по району пролечено 1423 пациента, из них</w:t>
      </w:r>
      <w:r w:rsidRPr="00232180">
        <w:rPr>
          <w:color w:val="000000" w:themeColor="text1"/>
          <w:sz w:val="28"/>
          <w:szCs w:val="28"/>
        </w:rPr>
        <w:t xml:space="preserve"> 180 </w:t>
      </w:r>
      <w:r w:rsidRPr="00232180">
        <w:rPr>
          <w:sz w:val="28"/>
          <w:szCs w:val="28"/>
        </w:rPr>
        <w:t>детей.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Скорая медицинская помощь</w:t>
      </w:r>
      <w:r w:rsidR="00232180" w:rsidRPr="00232180">
        <w:rPr>
          <w:sz w:val="28"/>
          <w:szCs w:val="28"/>
        </w:rPr>
        <w:t xml:space="preserve"> представлена пятью</w:t>
      </w:r>
      <w:r w:rsidRPr="00232180">
        <w:rPr>
          <w:sz w:val="28"/>
          <w:szCs w:val="28"/>
        </w:rPr>
        <w:t xml:space="preserve"> фельдшерскими</w:t>
      </w:r>
      <w:r w:rsidR="00E44556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бригадами, которые круглосуточно обслуживают экстренные вызов</w:t>
      </w:r>
      <w:r w:rsidR="00DC752A">
        <w:rPr>
          <w:sz w:val="28"/>
          <w:szCs w:val="28"/>
        </w:rPr>
        <w:t>ы</w:t>
      </w:r>
      <w:r w:rsidRPr="00232180">
        <w:rPr>
          <w:sz w:val="28"/>
          <w:szCs w:val="28"/>
        </w:rPr>
        <w:t xml:space="preserve"> на территории Павловского и Шелаболихинского районов. Среднее время доезда по вызову составляет 18 мин</w:t>
      </w:r>
      <w:r w:rsidR="00DC752A">
        <w:rPr>
          <w:sz w:val="28"/>
          <w:szCs w:val="28"/>
        </w:rPr>
        <w:t>ут</w:t>
      </w:r>
      <w:r w:rsidRPr="00232180">
        <w:rPr>
          <w:sz w:val="28"/>
          <w:szCs w:val="28"/>
        </w:rPr>
        <w:t>, а среднее время доезда при ДТП составляет 14 мин</w:t>
      </w:r>
      <w:r w:rsidR="00DC752A">
        <w:rPr>
          <w:sz w:val="28"/>
          <w:szCs w:val="28"/>
        </w:rPr>
        <w:t>ут</w:t>
      </w:r>
      <w:r w:rsidRPr="00232180">
        <w:rPr>
          <w:sz w:val="28"/>
          <w:szCs w:val="28"/>
        </w:rPr>
        <w:t>, к пациентам кардиологического профиля</w:t>
      </w:r>
      <w:r w:rsidR="00DC752A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 xml:space="preserve">- 19 минут. Всего за 2022 год число лиц, которым оказана медицинская помощь при выезде СМП </w:t>
      </w:r>
      <w:r w:rsidR="00DC752A">
        <w:rPr>
          <w:sz w:val="28"/>
          <w:szCs w:val="28"/>
        </w:rPr>
        <w:t xml:space="preserve">составило </w:t>
      </w:r>
      <w:r w:rsidRPr="00232180">
        <w:rPr>
          <w:sz w:val="28"/>
          <w:szCs w:val="28"/>
        </w:rPr>
        <w:t xml:space="preserve">12255 человек. Пациенты с острым коронарным синдромом, с острым нарушением мозгового кровообращения, с пневмонией, подозрением на </w:t>
      </w:r>
      <w:r w:rsidRPr="00232180">
        <w:rPr>
          <w:sz w:val="28"/>
          <w:szCs w:val="28"/>
          <w:lang w:val="en-US"/>
        </w:rPr>
        <w:t>COVID</w:t>
      </w:r>
      <w:r w:rsidRPr="00232180">
        <w:rPr>
          <w:sz w:val="28"/>
          <w:szCs w:val="28"/>
        </w:rPr>
        <w:t xml:space="preserve"> напрямую госпитализируются в краевые учреждения согласно маршрутизации. Фельдшер СМП имеет возможность дистанционно проконсультировать пациента с краевыми специалистами, передать ЭКГ. При установлении диагноза </w:t>
      </w:r>
      <w:r w:rsidR="00232180" w:rsidRPr="00232180">
        <w:rPr>
          <w:sz w:val="28"/>
          <w:szCs w:val="28"/>
        </w:rPr>
        <w:t>о</w:t>
      </w:r>
      <w:r w:rsidRPr="00232180">
        <w:rPr>
          <w:sz w:val="28"/>
          <w:szCs w:val="28"/>
        </w:rPr>
        <w:t>стрый инфаркт миокарда</w:t>
      </w:r>
      <w:r w:rsidR="00DC752A">
        <w:rPr>
          <w:sz w:val="28"/>
          <w:szCs w:val="28"/>
        </w:rPr>
        <w:t>,</w:t>
      </w:r>
      <w:r w:rsidRPr="00232180">
        <w:rPr>
          <w:sz w:val="28"/>
          <w:szCs w:val="28"/>
        </w:rPr>
        <w:t xml:space="preserve"> проводится догоспитальный тромболизис. За 2022 году проведено 14 догоспитальных тромболизисов (в 2021 году</w:t>
      </w:r>
      <w:r w:rsidR="00232180" w:rsidRPr="00232180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-</w:t>
      </w:r>
      <w:r w:rsidR="00232180" w:rsidRPr="00232180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9). Пациенты,</w:t>
      </w:r>
      <w:r w:rsidR="00E44556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 xml:space="preserve">которым транспортировка противопоказана, госпитализируются в отделение реанимации ЦРБ. Все пациенты после острого коронарного синдрома и острого нарушения мозгового </w:t>
      </w:r>
      <w:r w:rsidR="00DC752A">
        <w:rPr>
          <w:sz w:val="28"/>
          <w:szCs w:val="28"/>
        </w:rPr>
        <w:t>кровообращения направляются на третий</w:t>
      </w:r>
      <w:r w:rsidRPr="00232180">
        <w:rPr>
          <w:sz w:val="28"/>
          <w:szCs w:val="28"/>
        </w:rPr>
        <w:t xml:space="preserve"> этап реабилитации (санаторно-курортное лечение).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 xml:space="preserve">Согласно </w:t>
      </w:r>
      <w:r w:rsidR="00232180" w:rsidRPr="00232180">
        <w:rPr>
          <w:sz w:val="28"/>
          <w:szCs w:val="28"/>
        </w:rPr>
        <w:t>п</w:t>
      </w:r>
      <w:r w:rsidRPr="00232180">
        <w:rPr>
          <w:sz w:val="28"/>
          <w:szCs w:val="28"/>
        </w:rPr>
        <w:t>остановлени</w:t>
      </w:r>
      <w:bookmarkStart w:id="0" w:name="_GoBack"/>
      <w:bookmarkEnd w:id="0"/>
      <w:r w:rsidR="00232180" w:rsidRPr="00232180">
        <w:rPr>
          <w:sz w:val="28"/>
          <w:szCs w:val="28"/>
        </w:rPr>
        <w:t>ю</w:t>
      </w:r>
      <w:r w:rsidRPr="00232180">
        <w:rPr>
          <w:sz w:val="28"/>
          <w:szCs w:val="28"/>
        </w:rPr>
        <w:t xml:space="preserve"> Правительства РФ от 30 декабря 2021 г. № 502 «Об утверждении Территориальной программы государственных гарантий бесплатного оказания гражданам медицинской помощи на 2022 год и на плановый период 2023 и 2024 годов»</w:t>
      </w:r>
      <w:r w:rsidR="00232180" w:rsidRPr="00232180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 xml:space="preserve">в 2022 году 137 пациентов получили высокотехнологическую медицинскую помощь. Из них ВМП по </w:t>
      </w:r>
      <w:r w:rsidRPr="00232180">
        <w:rPr>
          <w:sz w:val="28"/>
          <w:szCs w:val="28"/>
        </w:rPr>
        <w:lastRenderedPageBreak/>
        <w:t xml:space="preserve">ортопедии 105 человек, стентирование коронарных периферических сосудов </w:t>
      </w:r>
      <w:r w:rsidR="00DC752A">
        <w:rPr>
          <w:sz w:val="28"/>
          <w:szCs w:val="28"/>
        </w:rPr>
        <w:t xml:space="preserve">- </w:t>
      </w:r>
      <w:r w:rsidRPr="00232180">
        <w:rPr>
          <w:sz w:val="28"/>
          <w:szCs w:val="28"/>
        </w:rPr>
        <w:t xml:space="preserve">12, шунтирование </w:t>
      </w:r>
      <w:r w:rsidR="00DC752A">
        <w:rPr>
          <w:sz w:val="28"/>
          <w:szCs w:val="28"/>
        </w:rPr>
        <w:t xml:space="preserve">- </w:t>
      </w:r>
      <w:r w:rsidRPr="00232180">
        <w:rPr>
          <w:sz w:val="28"/>
          <w:szCs w:val="28"/>
        </w:rPr>
        <w:t xml:space="preserve">4, ЭКС </w:t>
      </w:r>
      <w:r w:rsidR="00DC752A">
        <w:rPr>
          <w:sz w:val="28"/>
          <w:szCs w:val="28"/>
        </w:rPr>
        <w:t xml:space="preserve">- </w:t>
      </w:r>
      <w:r w:rsidRPr="00232180">
        <w:rPr>
          <w:sz w:val="28"/>
          <w:szCs w:val="28"/>
        </w:rPr>
        <w:t>10 человек.</w:t>
      </w:r>
    </w:p>
    <w:p w:rsidR="00DE4D8A" w:rsidRPr="00232180" w:rsidRDefault="00DE4D8A" w:rsidP="0023218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32180">
        <w:rPr>
          <w:b/>
          <w:sz w:val="28"/>
          <w:szCs w:val="28"/>
        </w:rPr>
        <w:t>Уровень заболеваемости от социально-значимых заболеваний</w:t>
      </w:r>
      <w:r w:rsidRPr="00232180">
        <w:rPr>
          <w:sz w:val="28"/>
          <w:szCs w:val="28"/>
        </w:rPr>
        <w:t>:</w:t>
      </w:r>
    </w:p>
    <w:p w:rsidR="00DE4D8A" w:rsidRPr="00232180" w:rsidRDefault="00DE4D8A" w:rsidP="0023218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Уровень больных с ВИЧ-инфекцией</w:t>
      </w:r>
      <w:r w:rsidR="00DC752A">
        <w:rPr>
          <w:sz w:val="28"/>
          <w:szCs w:val="28"/>
        </w:rPr>
        <w:t>,</w:t>
      </w:r>
      <w:r w:rsidRPr="00232180">
        <w:rPr>
          <w:sz w:val="28"/>
          <w:szCs w:val="28"/>
        </w:rPr>
        <w:t xml:space="preserve"> состоящих на Д учете</w:t>
      </w:r>
      <w:r w:rsidR="00DC752A">
        <w:rPr>
          <w:sz w:val="28"/>
          <w:szCs w:val="28"/>
        </w:rPr>
        <w:t>,</w:t>
      </w:r>
      <w:r w:rsidRPr="00232180">
        <w:rPr>
          <w:sz w:val="28"/>
          <w:szCs w:val="28"/>
        </w:rPr>
        <w:t xml:space="preserve"> остается высоким (всего 207 человек), из них 3 ребенка. Впервые на учет в 2022 году </w:t>
      </w:r>
      <w:r w:rsidR="00DC752A">
        <w:rPr>
          <w:sz w:val="28"/>
          <w:szCs w:val="28"/>
        </w:rPr>
        <w:t>взят</w:t>
      </w:r>
      <w:r w:rsidRPr="00232180">
        <w:rPr>
          <w:sz w:val="28"/>
          <w:szCs w:val="28"/>
        </w:rPr>
        <w:t xml:space="preserve"> 21 человек.</w:t>
      </w:r>
    </w:p>
    <w:p w:rsidR="00DE4D8A" w:rsidRPr="00232180" w:rsidRDefault="00DE4D8A" w:rsidP="0023218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Первичная выявляемость туберкулеза:</w:t>
      </w:r>
      <w:r w:rsidR="00DC752A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2019</w:t>
      </w:r>
      <w:r w:rsidR="00DC752A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г.</w:t>
      </w:r>
      <w:r w:rsidR="00DC752A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-</w:t>
      </w:r>
      <w:r w:rsidR="00DC752A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25 человек</w:t>
      </w:r>
      <w:r w:rsidR="00DC752A">
        <w:rPr>
          <w:sz w:val="28"/>
          <w:szCs w:val="28"/>
        </w:rPr>
        <w:t xml:space="preserve">, </w:t>
      </w:r>
      <w:r w:rsidRPr="00232180">
        <w:rPr>
          <w:sz w:val="28"/>
          <w:szCs w:val="28"/>
        </w:rPr>
        <w:t>2020</w:t>
      </w:r>
      <w:r w:rsidR="00DC752A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г.</w:t>
      </w:r>
      <w:r w:rsidR="00DC752A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-</w:t>
      </w:r>
      <w:r w:rsidR="00DC752A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12 человек</w:t>
      </w:r>
      <w:r w:rsidR="00DC752A">
        <w:rPr>
          <w:sz w:val="28"/>
          <w:szCs w:val="28"/>
        </w:rPr>
        <w:t xml:space="preserve">, </w:t>
      </w:r>
      <w:r w:rsidRPr="00232180">
        <w:rPr>
          <w:sz w:val="28"/>
          <w:szCs w:val="28"/>
        </w:rPr>
        <w:t>2021</w:t>
      </w:r>
      <w:r w:rsidR="00DC752A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г</w:t>
      </w:r>
      <w:r w:rsidR="00DC752A">
        <w:rPr>
          <w:sz w:val="28"/>
          <w:szCs w:val="28"/>
        </w:rPr>
        <w:t xml:space="preserve">. - </w:t>
      </w:r>
      <w:r w:rsidRPr="00232180">
        <w:rPr>
          <w:sz w:val="28"/>
          <w:szCs w:val="28"/>
        </w:rPr>
        <w:t>21 человек</w:t>
      </w:r>
      <w:r w:rsidR="00DC752A">
        <w:rPr>
          <w:sz w:val="28"/>
          <w:szCs w:val="28"/>
        </w:rPr>
        <w:t xml:space="preserve">, </w:t>
      </w:r>
      <w:r w:rsidRPr="00232180">
        <w:rPr>
          <w:sz w:val="28"/>
          <w:szCs w:val="28"/>
        </w:rPr>
        <w:t>2022</w:t>
      </w:r>
      <w:r w:rsidR="00DC752A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г</w:t>
      </w:r>
      <w:r w:rsidR="00DC752A">
        <w:rPr>
          <w:sz w:val="28"/>
          <w:szCs w:val="28"/>
        </w:rPr>
        <w:t xml:space="preserve">. </w:t>
      </w:r>
      <w:r w:rsidRPr="00232180">
        <w:rPr>
          <w:sz w:val="28"/>
          <w:szCs w:val="28"/>
        </w:rPr>
        <w:t>-</w:t>
      </w:r>
      <w:r w:rsidR="00DC752A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17 человек</w:t>
      </w:r>
      <w:r w:rsidR="00DC752A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 xml:space="preserve">(в т.ч. 1 подросток). Выявлено при </w:t>
      </w:r>
      <w:proofErr w:type="spellStart"/>
      <w:r w:rsidRPr="00232180">
        <w:rPr>
          <w:sz w:val="28"/>
          <w:szCs w:val="28"/>
        </w:rPr>
        <w:t>профосмотрах</w:t>
      </w:r>
      <w:proofErr w:type="spellEnd"/>
      <w:r w:rsidR="00E44556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– 5 человек.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Проводится ежемесячный мониторинг показателей по туберкулезу: заболеваемость, смертность в том числе в трудоспособном возрасте, сочетание туберкулеза</w:t>
      </w:r>
      <w:r w:rsidR="00E44556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с ВИЧ.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rFonts w:eastAsiaTheme="minorHAnsi"/>
          <w:sz w:val="28"/>
          <w:szCs w:val="28"/>
          <w:lang w:eastAsia="en-US"/>
        </w:rPr>
        <w:t xml:space="preserve">За 2022 год в КГБУЗ «Павловская ЦРБ» проведены мероприятия путем информирования населения через официальный сайт, </w:t>
      </w:r>
      <w:proofErr w:type="spellStart"/>
      <w:r w:rsidRPr="00232180">
        <w:rPr>
          <w:rFonts w:eastAsiaTheme="minorHAnsi"/>
          <w:sz w:val="28"/>
          <w:szCs w:val="28"/>
          <w:lang w:eastAsia="en-US"/>
        </w:rPr>
        <w:t>инстаграмм</w:t>
      </w:r>
      <w:proofErr w:type="spellEnd"/>
      <w:r w:rsidRPr="00232180">
        <w:rPr>
          <w:rFonts w:eastAsiaTheme="minorHAnsi"/>
          <w:sz w:val="28"/>
          <w:szCs w:val="28"/>
          <w:lang w:eastAsia="en-US"/>
        </w:rPr>
        <w:t>, транслирование видеороликов в</w:t>
      </w:r>
      <w:r w:rsidR="00E44556">
        <w:rPr>
          <w:rFonts w:eastAsiaTheme="minorHAnsi"/>
          <w:sz w:val="28"/>
          <w:szCs w:val="28"/>
          <w:lang w:eastAsia="en-US"/>
        </w:rPr>
        <w:t xml:space="preserve"> </w:t>
      </w:r>
      <w:r w:rsidRPr="00232180">
        <w:rPr>
          <w:rFonts w:eastAsiaTheme="minorHAnsi"/>
          <w:sz w:val="28"/>
          <w:szCs w:val="28"/>
          <w:lang w:eastAsia="en-US"/>
        </w:rPr>
        <w:t>поликлинике</w:t>
      </w:r>
      <w:r w:rsidR="00E44556">
        <w:rPr>
          <w:rFonts w:eastAsiaTheme="minorHAnsi"/>
          <w:sz w:val="28"/>
          <w:szCs w:val="28"/>
          <w:lang w:eastAsia="en-US"/>
        </w:rPr>
        <w:t xml:space="preserve"> </w:t>
      </w:r>
      <w:r w:rsidRPr="00232180">
        <w:rPr>
          <w:rFonts w:eastAsiaTheme="minorHAnsi"/>
          <w:sz w:val="28"/>
          <w:szCs w:val="28"/>
          <w:lang w:eastAsia="en-US"/>
        </w:rPr>
        <w:t>на темы: «Всемирный день без табака», «Всемирный</w:t>
      </w:r>
      <w:r w:rsidR="00E44556">
        <w:rPr>
          <w:rFonts w:eastAsiaTheme="minorHAnsi"/>
          <w:sz w:val="28"/>
          <w:szCs w:val="28"/>
          <w:lang w:eastAsia="en-US"/>
        </w:rPr>
        <w:t xml:space="preserve"> </w:t>
      </w:r>
      <w:r w:rsidRPr="00232180">
        <w:rPr>
          <w:rFonts w:eastAsiaTheme="minorHAnsi"/>
          <w:sz w:val="28"/>
          <w:szCs w:val="28"/>
          <w:lang w:eastAsia="en-US"/>
        </w:rPr>
        <w:t>день здоровья», «Всемирный день борьбы с артериальной гипертензией», «Всемирный день сердца», «Всемирный день борьбы с инсультом», «Всемирный день борьбы с диабетом».</w:t>
      </w:r>
      <w:r w:rsidR="00E44556">
        <w:rPr>
          <w:rFonts w:eastAsiaTheme="minorHAnsi"/>
          <w:sz w:val="28"/>
          <w:szCs w:val="28"/>
          <w:lang w:eastAsia="en-US"/>
        </w:rPr>
        <w:t xml:space="preserve"> </w:t>
      </w:r>
      <w:r w:rsidRPr="00232180">
        <w:rPr>
          <w:rFonts w:eastAsiaTheme="minorHAnsi"/>
          <w:sz w:val="28"/>
          <w:szCs w:val="28"/>
          <w:lang w:eastAsia="en-US"/>
        </w:rPr>
        <w:t>В КГБУЗ «Павловская ЦРБ» работает кабинет отказа от курения, где ежедневно ведет прием врач-нарколог.</w:t>
      </w:r>
    </w:p>
    <w:p w:rsidR="00DE4D8A" w:rsidRPr="00232180" w:rsidRDefault="00DE4D8A" w:rsidP="00232180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32180">
        <w:rPr>
          <w:rFonts w:eastAsiaTheme="minorHAnsi"/>
          <w:sz w:val="28"/>
          <w:szCs w:val="28"/>
          <w:lang w:eastAsia="en-US"/>
        </w:rPr>
        <w:t>В зоне ожидания в поликлиниках транслируются социальные ролики по профилактике, раннему выявлению факторов риска ССЗ, онкологических заболеваний, о необходимости своевременного</w:t>
      </w:r>
      <w:r w:rsidR="00E44556">
        <w:rPr>
          <w:rFonts w:eastAsiaTheme="minorHAnsi"/>
          <w:sz w:val="28"/>
          <w:szCs w:val="28"/>
          <w:lang w:eastAsia="en-US"/>
        </w:rPr>
        <w:t xml:space="preserve"> </w:t>
      </w:r>
      <w:r w:rsidRPr="00232180">
        <w:rPr>
          <w:rFonts w:eastAsiaTheme="minorHAnsi"/>
          <w:sz w:val="28"/>
          <w:szCs w:val="28"/>
          <w:lang w:eastAsia="en-US"/>
        </w:rPr>
        <w:t xml:space="preserve">прохождения профилактических осмотров. На информационных стендах поликлиник, </w:t>
      </w:r>
      <w:proofErr w:type="spellStart"/>
      <w:r w:rsidRPr="00232180">
        <w:rPr>
          <w:rFonts w:eastAsiaTheme="minorHAnsi"/>
          <w:sz w:val="28"/>
          <w:szCs w:val="28"/>
          <w:lang w:eastAsia="en-US"/>
        </w:rPr>
        <w:t>ФАПов</w:t>
      </w:r>
      <w:proofErr w:type="spellEnd"/>
      <w:r w:rsidRPr="00232180">
        <w:rPr>
          <w:rFonts w:eastAsiaTheme="minorHAnsi"/>
          <w:sz w:val="28"/>
          <w:szCs w:val="28"/>
          <w:lang w:eastAsia="en-US"/>
        </w:rPr>
        <w:t>, ВА размещены информационные материалы. В районной газете «Новая жизнь» регулярно издаются тематические статьи в форме вопросов к специалистам. Доводится информация для населения о необходимости прохождения ДВН, о возможности самостоятельно записаться на прием, регулярно доводится график выездов специалистов в села. На официальном сайте КГБУЗ «Павловская ЦРБ» размещена информация для пациентов по профилактике и раннему выявлению неинфекционных заболеваний.</w:t>
      </w:r>
    </w:p>
    <w:p w:rsidR="00DE4D8A" w:rsidRPr="00232180" w:rsidRDefault="00DE4D8A" w:rsidP="00232180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32180">
        <w:rPr>
          <w:rFonts w:eastAsiaTheme="minorHAnsi"/>
          <w:sz w:val="28"/>
          <w:szCs w:val="28"/>
          <w:lang w:eastAsia="en-US"/>
        </w:rPr>
        <w:t>В поликлинике КГБУЗ «Павловская ЦРБ» функционирует межрайонный кардиологический кабинет, где могут получить специализированную консультацию</w:t>
      </w:r>
      <w:r w:rsidR="00E44556">
        <w:rPr>
          <w:rFonts w:eastAsiaTheme="minorHAnsi"/>
          <w:sz w:val="28"/>
          <w:szCs w:val="28"/>
          <w:lang w:eastAsia="en-US"/>
        </w:rPr>
        <w:t xml:space="preserve"> </w:t>
      </w:r>
      <w:r w:rsidRPr="00232180">
        <w:rPr>
          <w:rFonts w:eastAsiaTheme="minorHAnsi"/>
          <w:sz w:val="28"/>
          <w:szCs w:val="28"/>
          <w:lang w:eastAsia="en-US"/>
        </w:rPr>
        <w:t>жители Павловского и Шелаболихинского районов. Также в КГБУЗ «Павловская ЦРБ» организована работа «Школы артериальной гипертензии»</w:t>
      </w:r>
      <w:r w:rsidR="00C7558D">
        <w:rPr>
          <w:rFonts w:eastAsiaTheme="minorHAnsi"/>
          <w:sz w:val="28"/>
          <w:szCs w:val="28"/>
          <w:lang w:eastAsia="en-US"/>
        </w:rPr>
        <w:t xml:space="preserve">, которую в 2022 году </w:t>
      </w:r>
      <w:r w:rsidRPr="00232180">
        <w:rPr>
          <w:rFonts w:eastAsiaTheme="minorHAnsi"/>
          <w:sz w:val="28"/>
          <w:szCs w:val="28"/>
          <w:lang w:eastAsia="en-US"/>
        </w:rPr>
        <w:t>посетили 4119</w:t>
      </w:r>
      <w:r w:rsidR="00C7558D">
        <w:rPr>
          <w:rFonts w:eastAsiaTheme="minorHAnsi"/>
          <w:sz w:val="28"/>
          <w:szCs w:val="28"/>
          <w:lang w:eastAsia="en-US"/>
        </w:rPr>
        <w:t xml:space="preserve"> человек</w:t>
      </w:r>
      <w:r w:rsidRPr="00232180">
        <w:rPr>
          <w:rFonts w:eastAsiaTheme="minorHAnsi"/>
          <w:sz w:val="28"/>
          <w:szCs w:val="28"/>
          <w:lang w:eastAsia="en-US"/>
        </w:rPr>
        <w:t>, «Школа сахарного диабета»</w:t>
      </w:r>
      <w:r w:rsidR="00C7558D">
        <w:rPr>
          <w:rFonts w:eastAsiaTheme="minorHAnsi"/>
          <w:sz w:val="28"/>
          <w:szCs w:val="28"/>
          <w:lang w:eastAsia="en-US"/>
        </w:rPr>
        <w:t xml:space="preserve"> </w:t>
      </w:r>
      <w:r w:rsidRPr="00232180">
        <w:rPr>
          <w:rFonts w:eastAsiaTheme="minorHAnsi"/>
          <w:sz w:val="28"/>
          <w:szCs w:val="28"/>
          <w:lang w:eastAsia="en-US"/>
        </w:rPr>
        <w:t>-</w:t>
      </w:r>
      <w:r w:rsidR="00C7558D">
        <w:rPr>
          <w:rFonts w:eastAsiaTheme="minorHAnsi"/>
          <w:sz w:val="28"/>
          <w:szCs w:val="28"/>
          <w:lang w:eastAsia="en-US"/>
        </w:rPr>
        <w:t xml:space="preserve"> </w:t>
      </w:r>
      <w:r w:rsidRPr="00232180">
        <w:rPr>
          <w:rFonts w:eastAsiaTheme="minorHAnsi"/>
          <w:sz w:val="28"/>
          <w:szCs w:val="28"/>
          <w:lang w:eastAsia="en-US"/>
        </w:rPr>
        <w:t>1394</w:t>
      </w:r>
      <w:r w:rsidR="00C7558D">
        <w:rPr>
          <w:rFonts w:eastAsiaTheme="minorHAnsi"/>
          <w:sz w:val="28"/>
          <w:szCs w:val="28"/>
          <w:lang w:eastAsia="en-US"/>
        </w:rPr>
        <w:t xml:space="preserve"> человека</w:t>
      </w:r>
      <w:r w:rsidRPr="00232180">
        <w:rPr>
          <w:rFonts w:eastAsiaTheme="minorHAnsi"/>
          <w:sz w:val="28"/>
          <w:szCs w:val="28"/>
          <w:lang w:eastAsia="en-US"/>
        </w:rPr>
        <w:t>, школа бронхиальной астмы</w:t>
      </w:r>
      <w:r w:rsidR="00C7558D">
        <w:rPr>
          <w:rFonts w:eastAsiaTheme="minorHAnsi"/>
          <w:sz w:val="28"/>
          <w:szCs w:val="28"/>
          <w:lang w:eastAsia="en-US"/>
        </w:rPr>
        <w:t xml:space="preserve"> – </w:t>
      </w:r>
      <w:r w:rsidRPr="00232180">
        <w:rPr>
          <w:rFonts w:eastAsiaTheme="minorHAnsi"/>
          <w:sz w:val="28"/>
          <w:szCs w:val="28"/>
          <w:lang w:eastAsia="en-US"/>
        </w:rPr>
        <w:t>729</w:t>
      </w:r>
      <w:r w:rsidR="00C7558D">
        <w:rPr>
          <w:rFonts w:eastAsiaTheme="minorHAnsi"/>
          <w:sz w:val="28"/>
          <w:szCs w:val="28"/>
          <w:lang w:eastAsia="en-US"/>
        </w:rPr>
        <w:t xml:space="preserve"> человек.</w:t>
      </w:r>
    </w:p>
    <w:p w:rsidR="00DE4D8A" w:rsidRPr="00232180" w:rsidRDefault="00DE4D8A" w:rsidP="00232180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32180">
        <w:rPr>
          <w:sz w:val="28"/>
          <w:szCs w:val="28"/>
        </w:rPr>
        <w:t xml:space="preserve">Участковые врачи-терапевты и участковые врачи-педиатры проводят на приеме профилактическую работу по пропаганде здорового образа жизни. </w:t>
      </w:r>
      <w:r w:rsidRPr="00232180">
        <w:rPr>
          <w:rFonts w:eastAsiaTheme="minorHAnsi"/>
          <w:sz w:val="28"/>
          <w:szCs w:val="28"/>
          <w:lang w:eastAsia="en-US"/>
        </w:rPr>
        <w:t xml:space="preserve">В отделении медпрофилактики </w:t>
      </w:r>
      <w:r w:rsidRPr="00232180">
        <w:rPr>
          <w:sz w:val="28"/>
          <w:szCs w:val="28"/>
        </w:rPr>
        <w:t>раздаются листовки, буклеты, памятки по</w:t>
      </w:r>
      <w:r w:rsidR="00E44556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 xml:space="preserve">профилактике заболеваний </w:t>
      </w:r>
      <w:proofErr w:type="spellStart"/>
      <w:r w:rsidRPr="00232180">
        <w:rPr>
          <w:sz w:val="28"/>
          <w:szCs w:val="28"/>
        </w:rPr>
        <w:t>сердечно-сосудистой</w:t>
      </w:r>
      <w:proofErr w:type="spellEnd"/>
      <w:r w:rsidRPr="00232180">
        <w:rPr>
          <w:sz w:val="28"/>
          <w:szCs w:val="28"/>
        </w:rPr>
        <w:t xml:space="preserve"> системы, онкологических заболеваний. Проводится анкетирование населения с целью раннего выявления групп риска.</w:t>
      </w:r>
    </w:p>
    <w:p w:rsidR="00DE4D8A" w:rsidRPr="00232180" w:rsidRDefault="00DE4D8A" w:rsidP="00232180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32180">
        <w:rPr>
          <w:sz w:val="28"/>
          <w:szCs w:val="28"/>
        </w:rPr>
        <w:t>Охват медицинскими профилактическими</w:t>
      </w:r>
      <w:r w:rsidR="00E44556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 xml:space="preserve">осмотрами детей составляет </w:t>
      </w:r>
      <w:r w:rsidRPr="00232180">
        <w:rPr>
          <w:sz w:val="28"/>
          <w:szCs w:val="28"/>
        </w:rPr>
        <w:lastRenderedPageBreak/>
        <w:t>100% (всего осмотрено 7036 человек). Подростки прошли профилактический осмотр 100%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Охват диспансеризацией взрослого населения составляет 71,5%, в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связи с ограничением плановой медицинской помощи в первом квартале 2022 года. В 2022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г</w:t>
      </w:r>
      <w:r w:rsidR="00C7558D">
        <w:rPr>
          <w:sz w:val="28"/>
          <w:szCs w:val="28"/>
        </w:rPr>
        <w:t>оду</w:t>
      </w:r>
      <w:r w:rsidRPr="00232180">
        <w:rPr>
          <w:sz w:val="28"/>
          <w:szCs w:val="28"/>
        </w:rPr>
        <w:t xml:space="preserve"> в рамках ДВН осмотрено 4728 человек.</w:t>
      </w:r>
      <w:r w:rsidR="00E44556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Профилактические осмотры прошли 1883 человека. Всего посещений за 2022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г</w:t>
      </w:r>
      <w:r w:rsidR="00C7558D">
        <w:rPr>
          <w:sz w:val="28"/>
          <w:szCs w:val="28"/>
        </w:rPr>
        <w:t>од</w:t>
      </w:r>
      <w:r w:rsidRPr="00232180">
        <w:rPr>
          <w:sz w:val="28"/>
          <w:szCs w:val="28"/>
        </w:rPr>
        <w:t xml:space="preserve"> </w:t>
      </w:r>
      <w:r w:rsidR="00C7558D">
        <w:rPr>
          <w:sz w:val="28"/>
          <w:szCs w:val="28"/>
        </w:rPr>
        <w:t xml:space="preserve">– </w:t>
      </w:r>
      <w:r w:rsidRPr="00232180">
        <w:rPr>
          <w:sz w:val="28"/>
          <w:szCs w:val="28"/>
        </w:rPr>
        <w:t>229725. Из них с профилактической целью 56373 посещения (24,5 % от всех посещений).</w:t>
      </w:r>
    </w:p>
    <w:p w:rsidR="00DE4D8A" w:rsidRPr="00232180" w:rsidRDefault="00DE4D8A" w:rsidP="00232180">
      <w:pPr>
        <w:overflowPunct w:val="0"/>
        <w:ind w:firstLine="709"/>
        <w:contextualSpacing/>
        <w:jc w:val="both"/>
        <w:rPr>
          <w:sz w:val="28"/>
          <w:szCs w:val="28"/>
          <w:lang w:eastAsia="ar-SA"/>
        </w:rPr>
      </w:pPr>
      <w:r w:rsidRPr="00232180">
        <w:rPr>
          <w:sz w:val="28"/>
          <w:szCs w:val="28"/>
          <w:lang w:eastAsia="ar-SA"/>
        </w:rPr>
        <w:t>Показатель флюорографического обследования населения в 2022 году составляет 81,8%</w:t>
      </w:r>
    </w:p>
    <w:p w:rsidR="00DE4D8A" w:rsidRPr="00232180" w:rsidRDefault="00DE4D8A" w:rsidP="00232180">
      <w:pPr>
        <w:tabs>
          <w:tab w:val="left" w:pos="750"/>
        </w:tabs>
        <w:overflowPunct w:val="0"/>
        <w:ind w:firstLine="709"/>
        <w:contextualSpacing/>
        <w:jc w:val="both"/>
        <w:textAlignment w:val="baseline"/>
        <w:rPr>
          <w:sz w:val="28"/>
          <w:szCs w:val="28"/>
          <w:lang w:eastAsia="ar-SA"/>
        </w:rPr>
      </w:pPr>
      <w:r w:rsidRPr="00232180">
        <w:rPr>
          <w:sz w:val="28"/>
          <w:szCs w:val="28"/>
          <w:lang w:eastAsia="ar-SA"/>
        </w:rPr>
        <w:t>В целях снижения смертности в учреждениях здравоохранения спланированы мероприятия,</w:t>
      </w:r>
      <w:r w:rsidR="00C7558D">
        <w:rPr>
          <w:sz w:val="28"/>
          <w:szCs w:val="28"/>
          <w:lang w:eastAsia="ar-SA"/>
        </w:rPr>
        <w:t xml:space="preserve"> </w:t>
      </w:r>
      <w:r w:rsidRPr="00232180">
        <w:rPr>
          <w:sz w:val="28"/>
          <w:szCs w:val="28"/>
          <w:lang w:eastAsia="ar-SA"/>
        </w:rPr>
        <w:t>направленные на своевременное выявление факторов риска основных заболеваний. Это цереброваскулярные заболевания, ишемическая болезнь сердца, болезни органов дыхания, онкологические заболевания, болезни пищеварительной системы, несчастные транспортные случаи (ДТП).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Показател</w:t>
      </w:r>
      <w:r w:rsidR="00C7558D">
        <w:rPr>
          <w:sz w:val="28"/>
          <w:szCs w:val="28"/>
        </w:rPr>
        <w:t>и</w:t>
      </w:r>
      <w:r w:rsidRPr="00232180">
        <w:rPr>
          <w:sz w:val="28"/>
          <w:szCs w:val="28"/>
        </w:rPr>
        <w:t xml:space="preserve"> общей смертности: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2019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г</w:t>
      </w:r>
      <w:r w:rsidR="00C7558D">
        <w:rPr>
          <w:sz w:val="28"/>
          <w:szCs w:val="28"/>
        </w:rPr>
        <w:t>.</w:t>
      </w:r>
      <w:r w:rsidRPr="00232180">
        <w:rPr>
          <w:sz w:val="28"/>
          <w:szCs w:val="28"/>
        </w:rPr>
        <w:t>- всего умерло 502 человека (показатель 13,84)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2020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г</w:t>
      </w:r>
      <w:r w:rsidR="00C7558D">
        <w:rPr>
          <w:sz w:val="28"/>
          <w:szCs w:val="28"/>
        </w:rPr>
        <w:t xml:space="preserve">. </w:t>
      </w:r>
      <w:r w:rsidR="00E44556">
        <w:rPr>
          <w:sz w:val="28"/>
          <w:szCs w:val="28"/>
        </w:rPr>
        <w:t xml:space="preserve">– </w:t>
      </w:r>
      <w:r w:rsidRPr="00232180">
        <w:rPr>
          <w:sz w:val="28"/>
          <w:szCs w:val="28"/>
        </w:rPr>
        <w:t>всего</w:t>
      </w:r>
      <w:r w:rsidR="00E44556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 xml:space="preserve"> умерло 630 человек (показатель 17,38)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2021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г</w:t>
      </w:r>
      <w:r w:rsidR="00C7558D">
        <w:rPr>
          <w:sz w:val="28"/>
          <w:szCs w:val="28"/>
        </w:rPr>
        <w:t>.</w:t>
      </w:r>
      <w:r w:rsidRPr="00232180">
        <w:rPr>
          <w:sz w:val="28"/>
          <w:szCs w:val="28"/>
        </w:rPr>
        <w:t xml:space="preserve"> –всего умерло 779 человек (показатель 21,4)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2022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г</w:t>
      </w:r>
      <w:r w:rsidR="00C7558D">
        <w:rPr>
          <w:sz w:val="28"/>
          <w:szCs w:val="28"/>
        </w:rPr>
        <w:t xml:space="preserve">. </w:t>
      </w:r>
      <w:r w:rsidRPr="00232180">
        <w:rPr>
          <w:sz w:val="28"/>
          <w:szCs w:val="28"/>
        </w:rPr>
        <w:t>- всего умерло 563 человека (показатель 15,9)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Показатели младенческой смертности: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2019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г.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-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всего умерло 1 человек (показатель 4,35)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2020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г.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-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всего умерло 4 человека (показатель12,66)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2021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г.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-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всего умерло 2 человек (показатель 7,72)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2022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г</w:t>
      </w:r>
      <w:r w:rsidR="00C7558D">
        <w:rPr>
          <w:sz w:val="28"/>
          <w:szCs w:val="28"/>
        </w:rPr>
        <w:t xml:space="preserve">. </w:t>
      </w:r>
      <w:r w:rsidRPr="00232180">
        <w:rPr>
          <w:sz w:val="28"/>
          <w:szCs w:val="28"/>
        </w:rPr>
        <w:t>- всего умерло 0 человек (показатель 0)</w:t>
      </w:r>
      <w:r w:rsidR="00C7558D">
        <w:rPr>
          <w:sz w:val="28"/>
          <w:szCs w:val="28"/>
        </w:rPr>
        <w:t>.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Ранговые места в структуре общей смертности за 2022 г</w:t>
      </w:r>
      <w:r w:rsidR="00C7558D">
        <w:rPr>
          <w:sz w:val="28"/>
          <w:szCs w:val="28"/>
        </w:rPr>
        <w:t>од</w:t>
      </w:r>
      <w:r w:rsidRPr="00232180">
        <w:rPr>
          <w:sz w:val="28"/>
          <w:szCs w:val="28"/>
        </w:rPr>
        <w:t xml:space="preserve"> распределены следующим образом: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 xml:space="preserve">1 место – заболевания </w:t>
      </w:r>
      <w:r w:rsidR="00C7558D" w:rsidRPr="00232180">
        <w:rPr>
          <w:sz w:val="28"/>
          <w:szCs w:val="28"/>
        </w:rPr>
        <w:t>сердечнососудистой</w:t>
      </w:r>
      <w:r w:rsidRPr="00232180">
        <w:rPr>
          <w:sz w:val="28"/>
          <w:szCs w:val="28"/>
        </w:rPr>
        <w:t xml:space="preserve"> системы</w:t>
      </w:r>
      <w:r w:rsidR="00C7558D">
        <w:rPr>
          <w:sz w:val="28"/>
          <w:szCs w:val="28"/>
        </w:rPr>
        <w:t>;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2 место</w:t>
      </w:r>
      <w:r w:rsidR="00C7558D">
        <w:rPr>
          <w:sz w:val="28"/>
          <w:szCs w:val="28"/>
        </w:rPr>
        <w:t xml:space="preserve"> –</w:t>
      </w:r>
      <w:r w:rsidRPr="00232180">
        <w:rPr>
          <w:sz w:val="28"/>
          <w:szCs w:val="28"/>
        </w:rPr>
        <w:t xml:space="preserve"> онкологические</w:t>
      </w:r>
      <w:r w:rsidR="00E44556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заболевания</w:t>
      </w:r>
      <w:r w:rsidR="00C7558D">
        <w:rPr>
          <w:sz w:val="28"/>
          <w:szCs w:val="28"/>
        </w:rPr>
        <w:t>;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3 место</w:t>
      </w:r>
      <w:r w:rsidR="00C7558D">
        <w:rPr>
          <w:sz w:val="28"/>
          <w:szCs w:val="28"/>
        </w:rPr>
        <w:t xml:space="preserve"> –</w:t>
      </w:r>
      <w:r w:rsidRPr="00232180">
        <w:rPr>
          <w:sz w:val="28"/>
          <w:szCs w:val="28"/>
        </w:rPr>
        <w:t xml:space="preserve"> болезни</w:t>
      </w:r>
      <w:r w:rsidR="00E44556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нервной системы</w:t>
      </w:r>
      <w:r w:rsidR="00C7558D">
        <w:rPr>
          <w:sz w:val="28"/>
          <w:szCs w:val="28"/>
        </w:rPr>
        <w:t>.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Показатель смертности в трудоспособном возрасте в 2022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г</w:t>
      </w:r>
      <w:r w:rsidR="00C7558D">
        <w:rPr>
          <w:sz w:val="28"/>
          <w:szCs w:val="28"/>
        </w:rPr>
        <w:t>оду</w:t>
      </w:r>
      <w:r w:rsidRPr="00232180">
        <w:rPr>
          <w:sz w:val="28"/>
          <w:szCs w:val="28"/>
        </w:rPr>
        <w:t xml:space="preserve"> выше в сравнении с 2021 годом: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2019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г</w:t>
      </w:r>
      <w:r w:rsidR="00C7558D">
        <w:rPr>
          <w:sz w:val="28"/>
          <w:szCs w:val="28"/>
        </w:rPr>
        <w:t xml:space="preserve">. – </w:t>
      </w:r>
      <w:r w:rsidRPr="00232180">
        <w:rPr>
          <w:sz w:val="28"/>
          <w:szCs w:val="28"/>
        </w:rPr>
        <w:t>всего умерло 103 человека (показатель 599,4)</w:t>
      </w:r>
      <w:r w:rsidR="00C7558D">
        <w:rPr>
          <w:sz w:val="28"/>
          <w:szCs w:val="28"/>
        </w:rPr>
        <w:t>;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2020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г</w:t>
      </w:r>
      <w:r w:rsidR="00C7558D">
        <w:rPr>
          <w:sz w:val="28"/>
          <w:szCs w:val="28"/>
        </w:rPr>
        <w:t xml:space="preserve">. – </w:t>
      </w:r>
      <w:r w:rsidRPr="00232180">
        <w:rPr>
          <w:sz w:val="28"/>
          <w:szCs w:val="28"/>
        </w:rPr>
        <w:t>всего умерло 109 человек (показатель 618,37)</w:t>
      </w:r>
      <w:r w:rsidR="00C7558D">
        <w:rPr>
          <w:sz w:val="28"/>
          <w:szCs w:val="28"/>
        </w:rPr>
        <w:t>;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2021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г</w:t>
      </w:r>
      <w:r w:rsidR="00C7558D">
        <w:rPr>
          <w:sz w:val="28"/>
          <w:szCs w:val="28"/>
        </w:rPr>
        <w:t>. –</w:t>
      </w:r>
      <w:r w:rsidRPr="00232180">
        <w:rPr>
          <w:sz w:val="28"/>
          <w:szCs w:val="28"/>
        </w:rPr>
        <w:t xml:space="preserve"> всего умерло 158 человек (показатель 900,6)</w:t>
      </w:r>
      <w:r w:rsidR="00C7558D">
        <w:rPr>
          <w:sz w:val="28"/>
          <w:szCs w:val="28"/>
        </w:rPr>
        <w:t>;</w:t>
      </w:r>
    </w:p>
    <w:p w:rsidR="00DE4D8A" w:rsidRPr="00232180" w:rsidRDefault="00DE4D8A" w:rsidP="00232180">
      <w:pPr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2022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г</w:t>
      </w:r>
      <w:r w:rsidR="00C7558D">
        <w:rPr>
          <w:sz w:val="28"/>
          <w:szCs w:val="28"/>
        </w:rPr>
        <w:t>. –</w:t>
      </w:r>
      <w:r w:rsidRPr="00232180">
        <w:rPr>
          <w:sz w:val="28"/>
          <w:szCs w:val="28"/>
        </w:rPr>
        <w:t xml:space="preserve"> всего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умерло 125 человек (показатель 711,76)</w:t>
      </w:r>
      <w:r w:rsidR="00C7558D">
        <w:rPr>
          <w:sz w:val="28"/>
          <w:szCs w:val="28"/>
        </w:rPr>
        <w:t>.</w:t>
      </w:r>
    </w:p>
    <w:p w:rsidR="00DE4D8A" w:rsidRPr="00232180" w:rsidRDefault="00DE4D8A" w:rsidP="00E44556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 xml:space="preserve">За последние 5 </w:t>
      </w:r>
      <w:r w:rsidR="00C7558D">
        <w:rPr>
          <w:sz w:val="28"/>
          <w:szCs w:val="28"/>
        </w:rPr>
        <w:t>лет</w:t>
      </w:r>
      <w:r w:rsidRPr="00232180">
        <w:rPr>
          <w:sz w:val="28"/>
          <w:szCs w:val="28"/>
        </w:rPr>
        <w:t xml:space="preserve"> отсутствуют случаи материнской смертности.</w:t>
      </w:r>
    </w:p>
    <w:p w:rsidR="00DE4D8A" w:rsidRPr="00232180" w:rsidRDefault="00C7558D" w:rsidP="00E44556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E4D8A" w:rsidRPr="00232180">
        <w:rPr>
          <w:sz w:val="28"/>
          <w:szCs w:val="28"/>
        </w:rPr>
        <w:t xml:space="preserve"> 2022 году наблюдается резкое снижение уровня рождаемости</w:t>
      </w:r>
      <w:r w:rsidR="00DE4D8A" w:rsidRPr="00232180">
        <w:rPr>
          <w:b/>
          <w:sz w:val="28"/>
          <w:szCs w:val="28"/>
        </w:rPr>
        <w:t xml:space="preserve">: </w:t>
      </w:r>
      <w:r w:rsidR="00DE4D8A" w:rsidRPr="00232180">
        <w:rPr>
          <w:sz w:val="28"/>
          <w:szCs w:val="28"/>
        </w:rPr>
        <w:t>в 2022 году родилось - 210 детей, (в 2020 году родилось 316 детей, в 2021-259 человек)</w:t>
      </w:r>
    </w:p>
    <w:p w:rsidR="00DE4D8A" w:rsidRPr="00232180" w:rsidRDefault="00DE4D8A" w:rsidP="00E44556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Силами здравоохранения проводятся следующие мероприятия по повышению рождаемости:</w:t>
      </w:r>
    </w:p>
    <w:p w:rsidR="00DE4D8A" w:rsidRPr="00E44556" w:rsidRDefault="00232180" w:rsidP="00E44556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44556">
        <w:rPr>
          <w:sz w:val="28"/>
          <w:szCs w:val="28"/>
        </w:rPr>
        <w:t>п</w:t>
      </w:r>
      <w:r w:rsidR="00DE4D8A" w:rsidRPr="00E44556">
        <w:rPr>
          <w:sz w:val="28"/>
          <w:szCs w:val="28"/>
        </w:rPr>
        <w:t xml:space="preserve">роведение медицинских профилактических осмотров несовершеннолетних с целью раннего выявления отклонений с </w:t>
      </w:r>
      <w:r w:rsidR="00DE4D8A" w:rsidRPr="00E44556">
        <w:rPr>
          <w:sz w:val="28"/>
          <w:szCs w:val="28"/>
        </w:rPr>
        <w:lastRenderedPageBreak/>
        <w:t>последующим</w:t>
      </w:r>
      <w:r w:rsidR="00E44556">
        <w:rPr>
          <w:sz w:val="28"/>
          <w:szCs w:val="28"/>
        </w:rPr>
        <w:t xml:space="preserve"> </w:t>
      </w:r>
      <w:r w:rsidR="00DE4D8A" w:rsidRPr="00E44556">
        <w:rPr>
          <w:sz w:val="28"/>
          <w:szCs w:val="28"/>
        </w:rPr>
        <w:t>выполнением программ лечения</w:t>
      </w:r>
      <w:r w:rsidR="00C7558D" w:rsidRPr="00E44556">
        <w:rPr>
          <w:sz w:val="28"/>
          <w:szCs w:val="28"/>
        </w:rPr>
        <w:t xml:space="preserve"> </w:t>
      </w:r>
      <w:r w:rsidR="00DE4D8A" w:rsidRPr="00E44556">
        <w:rPr>
          <w:sz w:val="28"/>
          <w:szCs w:val="28"/>
        </w:rPr>
        <w:t>-</w:t>
      </w:r>
      <w:r w:rsidR="00C7558D" w:rsidRPr="00E44556">
        <w:rPr>
          <w:sz w:val="28"/>
          <w:szCs w:val="28"/>
        </w:rPr>
        <w:t xml:space="preserve"> </w:t>
      </w:r>
      <w:r w:rsidR="00DE4D8A" w:rsidRPr="00E44556">
        <w:rPr>
          <w:sz w:val="28"/>
          <w:szCs w:val="28"/>
        </w:rPr>
        <w:t>7763 (100%)</w:t>
      </w:r>
      <w:r w:rsidRPr="00E44556">
        <w:rPr>
          <w:sz w:val="28"/>
          <w:szCs w:val="28"/>
        </w:rPr>
        <w:t>;</w:t>
      </w:r>
    </w:p>
    <w:p w:rsidR="00DE4D8A" w:rsidRPr="00E44556" w:rsidRDefault="00232180" w:rsidP="00E44556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44556">
        <w:rPr>
          <w:sz w:val="28"/>
          <w:szCs w:val="28"/>
        </w:rPr>
        <w:t>о</w:t>
      </w:r>
      <w:r w:rsidR="00DE4D8A" w:rsidRPr="00E44556">
        <w:rPr>
          <w:sz w:val="28"/>
          <w:szCs w:val="28"/>
        </w:rPr>
        <w:t>беспечение обследования беременных женщин высокой группы риска с последующим</w:t>
      </w:r>
      <w:r w:rsidR="00E44556">
        <w:rPr>
          <w:sz w:val="28"/>
          <w:szCs w:val="28"/>
        </w:rPr>
        <w:t xml:space="preserve"> </w:t>
      </w:r>
      <w:r w:rsidR="00DE4D8A" w:rsidRPr="00E44556">
        <w:rPr>
          <w:sz w:val="28"/>
          <w:szCs w:val="28"/>
        </w:rPr>
        <w:t xml:space="preserve">выполнением программ лечения-66 </w:t>
      </w:r>
      <w:r w:rsidRPr="00E44556">
        <w:rPr>
          <w:sz w:val="28"/>
          <w:szCs w:val="28"/>
        </w:rPr>
        <w:t>женщин;</w:t>
      </w:r>
    </w:p>
    <w:p w:rsidR="00DE4D8A" w:rsidRPr="00E44556" w:rsidRDefault="00232180" w:rsidP="00E44556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44556">
        <w:rPr>
          <w:sz w:val="28"/>
          <w:szCs w:val="28"/>
        </w:rPr>
        <w:t>у</w:t>
      </w:r>
      <w:r w:rsidR="00DE4D8A" w:rsidRPr="00E44556">
        <w:rPr>
          <w:sz w:val="28"/>
          <w:szCs w:val="28"/>
        </w:rPr>
        <w:t>величение объемов высокотехнологичной помощи с применением вспомогательных репродуктивных технологий (ЭКО) за счет средств обязательного медицинского страхования</w:t>
      </w:r>
      <w:r w:rsidR="00C7558D" w:rsidRPr="00E44556">
        <w:rPr>
          <w:sz w:val="28"/>
          <w:szCs w:val="28"/>
        </w:rPr>
        <w:t xml:space="preserve"> </w:t>
      </w:r>
      <w:r w:rsidR="00DE4D8A" w:rsidRPr="00E44556">
        <w:rPr>
          <w:sz w:val="28"/>
          <w:szCs w:val="28"/>
        </w:rPr>
        <w:t>-</w:t>
      </w:r>
      <w:r w:rsidR="00C7558D" w:rsidRPr="00E44556">
        <w:rPr>
          <w:sz w:val="28"/>
          <w:szCs w:val="28"/>
        </w:rPr>
        <w:t xml:space="preserve"> </w:t>
      </w:r>
      <w:r w:rsidR="00E44556">
        <w:rPr>
          <w:sz w:val="28"/>
          <w:szCs w:val="28"/>
        </w:rPr>
        <w:t>100%.</w:t>
      </w:r>
    </w:p>
    <w:p w:rsidR="00DE4D8A" w:rsidRPr="00232180" w:rsidRDefault="00DE4D8A" w:rsidP="00E44556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32180">
        <w:rPr>
          <w:sz w:val="28"/>
          <w:szCs w:val="28"/>
        </w:rPr>
        <w:t>Так в</w:t>
      </w:r>
      <w:r w:rsidR="00E44556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2019</w:t>
      </w:r>
      <w:r w:rsidRPr="00232180">
        <w:rPr>
          <w:color w:val="FF0000"/>
          <w:sz w:val="28"/>
          <w:szCs w:val="28"/>
        </w:rPr>
        <w:t xml:space="preserve"> </w:t>
      </w:r>
      <w:r w:rsidRPr="00232180">
        <w:rPr>
          <w:sz w:val="28"/>
          <w:szCs w:val="28"/>
        </w:rPr>
        <w:t xml:space="preserve">г.- проведено ЭКО </w:t>
      </w:r>
      <w:r w:rsidR="00C7558D">
        <w:rPr>
          <w:sz w:val="28"/>
          <w:szCs w:val="28"/>
        </w:rPr>
        <w:t xml:space="preserve">– </w:t>
      </w:r>
      <w:r w:rsidRPr="00232180">
        <w:rPr>
          <w:sz w:val="28"/>
          <w:szCs w:val="28"/>
        </w:rPr>
        <w:t>4</w:t>
      </w:r>
      <w:r w:rsidR="00C7558D">
        <w:rPr>
          <w:sz w:val="28"/>
          <w:szCs w:val="28"/>
        </w:rPr>
        <w:t xml:space="preserve">, </w:t>
      </w:r>
      <w:r w:rsidRPr="00232180">
        <w:rPr>
          <w:sz w:val="28"/>
          <w:szCs w:val="28"/>
        </w:rPr>
        <w:t>2020 г.- проведено ЭКО -7</w:t>
      </w:r>
      <w:r w:rsidR="00C7558D">
        <w:rPr>
          <w:sz w:val="28"/>
          <w:szCs w:val="28"/>
        </w:rPr>
        <w:t xml:space="preserve">, </w:t>
      </w:r>
      <w:r w:rsidRPr="00232180">
        <w:rPr>
          <w:sz w:val="28"/>
          <w:szCs w:val="28"/>
        </w:rPr>
        <w:t>2021 г.- проведено ЭКО- 3</w:t>
      </w:r>
      <w:r w:rsidR="00C7558D">
        <w:rPr>
          <w:sz w:val="28"/>
          <w:szCs w:val="28"/>
        </w:rPr>
        <w:t xml:space="preserve">, </w:t>
      </w:r>
      <w:r w:rsidRPr="00232180">
        <w:rPr>
          <w:sz w:val="28"/>
          <w:szCs w:val="28"/>
        </w:rPr>
        <w:t>2022г – проведено ЭКО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-</w:t>
      </w:r>
      <w:r w:rsidR="00C7558D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3</w:t>
      </w:r>
      <w:r w:rsidR="00C7558D">
        <w:rPr>
          <w:sz w:val="28"/>
          <w:szCs w:val="28"/>
        </w:rPr>
        <w:t>.</w:t>
      </w:r>
    </w:p>
    <w:p w:rsidR="00DE4D8A" w:rsidRPr="00232180" w:rsidRDefault="00DE4D8A" w:rsidP="00E44556">
      <w:pPr>
        <w:tabs>
          <w:tab w:val="left" w:pos="1134"/>
        </w:tabs>
        <w:ind w:firstLine="709"/>
        <w:contextualSpacing/>
        <w:jc w:val="both"/>
        <w:rPr>
          <w:color w:val="FF0000"/>
          <w:sz w:val="28"/>
          <w:szCs w:val="28"/>
        </w:rPr>
      </w:pPr>
      <w:r w:rsidRPr="00232180">
        <w:rPr>
          <w:sz w:val="28"/>
          <w:szCs w:val="28"/>
        </w:rPr>
        <w:t>Количество абортов</w:t>
      </w:r>
      <w:r w:rsidR="00E44556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в 2019 г</w:t>
      </w:r>
      <w:r w:rsidR="00E44556">
        <w:rPr>
          <w:sz w:val="28"/>
          <w:szCs w:val="28"/>
        </w:rPr>
        <w:t xml:space="preserve">. – </w:t>
      </w:r>
      <w:r w:rsidRPr="00232180">
        <w:rPr>
          <w:sz w:val="28"/>
          <w:szCs w:val="28"/>
        </w:rPr>
        <w:t>46</w:t>
      </w:r>
      <w:r w:rsidR="00E44556">
        <w:rPr>
          <w:sz w:val="28"/>
          <w:szCs w:val="28"/>
        </w:rPr>
        <w:t xml:space="preserve">, </w:t>
      </w:r>
      <w:r w:rsidRPr="00232180">
        <w:rPr>
          <w:sz w:val="28"/>
          <w:szCs w:val="28"/>
        </w:rPr>
        <w:t>в 2020 г</w:t>
      </w:r>
      <w:r w:rsidR="00E44556">
        <w:rPr>
          <w:sz w:val="28"/>
          <w:szCs w:val="28"/>
        </w:rPr>
        <w:t>.</w:t>
      </w:r>
      <w:r w:rsidRPr="00232180">
        <w:rPr>
          <w:sz w:val="28"/>
          <w:szCs w:val="28"/>
        </w:rPr>
        <w:t xml:space="preserve"> </w:t>
      </w:r>
      <w:r w:rsidR="00E44556">
        <w:rPr>
          <w:sz w:val="28"/>
          <w:szCs w:val="28"/>
        </w:rPr>
        <w:t xml:space="preserve">– </w:t>
      </w:r>
      <w:r w:rsidRPr="00232180">
        <w:rPr>
          <w:sz w:val="28"/>
          <w:szCs w:val="28"/>
        </w:rPr>
        <w:t>75</w:t>
      </w:r>
      <w:r w:rsidR="00E44556">
        <w:rPr>
          <w:sz w:val="28"/>
          <w:szCs w:val="28"/>
        </w:rPr>
        <w:t xml:space="preserve">, </w:t>
      </w:r>
      <w:r w:rsidRPr="00232180">
        <w:rPr>
          <w:sz w:val="28"/>
          <w:szCs w:val="28"/>
        </w:rPr>
        <w:t>в 2021</w:t>
      </w:r>
      <w:r w:rsidR="00E44556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г</w:t>
      </w:r>
      <w:r w:rsidR="00E44556">
        <w:rPr>
          <w:sz w:val="28"/>
          <w:szCs w:val="28"/>
        </w:rPr>
        <w:t>.</w:t>
      </w:r>
      <w:r w:rsidRPr="00232180">
        <w:rPr>
          <w:sz w:val="28"/>
          <w:szCs w:val="28"/>
        </w:rPr>
        <w:t xml:space="preserve"> – 71</w:t>
      </w:r>
      <w:r w:rsidR="00E44556">
        <w:rPr>
          <w:sz w:val="28"/>
          <w:szCs w:val="28"/>
        </w:rPr>
        <w:t xml:space="preserve">, </w:t>
      </w:r>
      <w:r w:rsidRPr="00232180">
        <w:rPr>
          <w:sz w:val="28"/>
          <w:szCs w:val="28"/>
        </w:rPr>
        <w:t>в 2022</w:t>
      </w:r>
      <w:r w:rsidR="00E44556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г</w:t>
      </w:r>
      <w:r w:rsidR="00E44556">
        <w:rPr>
          <w:sz w:val="28"/>
          <w:szCs w:val="28"/>
        </w:rPr>
        <w:t>.</w:t>
      </w:r>
      <w:r w:rsidRPr="00232180">
        <w:rPr>
          <w:sz w:val="28"/>
          <w:szCs w:val="28"/>
        </w:rPr>
        <w:t xml:space="preserve"> -50</w:t>
      </w:r>
      <w:r w:rsidR="00E44556">
        <w:rPr>
          <w:sz w:val="28"/>
          <w:szCs w:val="28"/>
        </w:rPr>
        <w:t xml:space="preserve"> о</w:t>
      </w:r>
      <w:r w:rsidRPr="00232180">
        <w:rPr>
          <w:sz w:val="28"/>
          <w:szCs w:val="28"/>
        </w:rPr>
        <w:t>братилось 59 человек, все проконсультированы психологом</w:t>
      </w:r>
      <w:r w:rsidR="00E44556">
        <w:rPr>
          <w:sz w:val="28"/>
          <w:szCs w:val="28"/>
        </w:rPr>
        <w:t xml:space="preserve"> </w:t>
      </w:r>
      <w:r w:rsidRPr="00232180">
        <w:rPr>
          <w:sz w:val="28"/>
          <w:szCs w:val="28"/>
        </w:rPr>
        <w:t>КГБУСО «Комплексный центр социального обслуживания населения Павловского района»</w:t>
      </w:r>
      <w:r w:rsidR="00E44556">
        <w:rPr>
          <w:sz w:val="28"/>
          <w:szCs w:val="28"/>
        </w:rPr>
        <w:t>;</w:t>
      </w:r>
    </w:p>
    <w:p w:rsidR="00DE4D8A" w:rsidRPr="00E44556" w:rsidRDefault="00E44556" w:rsidP="00E44556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44556">
        <w:rPr>
          <w:sz w:val="28"/>
          <w:szCs w:val="28"/>
        </w:rPr>
        <w:t>о</w:t>
      </w:r>
      <w:r w:rsidR="00DE4D8A" w:rsidRPr="00E44556">
        <w:rPr>
          <w:sz w:val="28"/>
          <w:szCs w:val="28"/>
        </w:rPr>
        <w:t>бучение врачей акушеров-гинекологов для работы с беременными женщинами по профилактике абортов и отказов от новорожденны</w:t>
      </w:r>
      <w:r w:rsidRPr="00E44556">
        <w:rPr>
          <w:sz w:val="28"/>
          <w:szCs w:val="28"/>
        </w:rPr>
        <w:t xml:space="preserve">х </w:t>
      </w:r>
      <w:r w:rsidR="00DE4D8A" w:rsidRPr="00E44556">
        <w:rPr>
          <w:sz w:val="28"/>
          <w:szCs w:val="28"/>
        </w:rPr>
        <w:t>-</w:t>
      </w:r>
      <w:r w:rsidRPr="00E44556">
        <w:rPr>
          <w:sz w:val="28"/>
          <w:szCs w:val="28"/>
        </w:rPr>
        <w:t xml:space="preserve"> </w:t>
      </w:r>
      <w:r w:rsidR="00DE4D8A" w:rsidRPr="00E44556">
        <w:rPr>
          <w:sz w:val="28"/>
          <w:szCs w:val="28"/>
        </w:rPr>
        <w:t>100%</w:t>
      </w:r>
      <w:r>
        <w:rPr>
          <w:sz w:val="28"/>
          <w:szCs w:val="28"/>
        </w:rPr>
        <w:t>;</w:t>
      </w:r>
    </w:p>
    <w:p w:rsidR="00DE4D8A" w:rsidRPr="00E44556" w:rsidRDefault="00E44556" w:rsidP="00E44556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44556">
        <w:rPr>
          <w:sz w:val="28"/>
          <w:szCs w:val="28"/>
        </w:rPr>
        <w:t>в</w:t>
      </w:r>
      <w:r w:rsidR="00DE4D8A" w:rsidRPr="00E44556">
        <w:rPr>
          <w:sz w:val="28"/>
          <w:szCs w:val="28"/>
        </w:rPr>
        <w:t>ключение в оценку эффективности работы врачей женской консультации показателя «Число отказов женщин от прерывания беременности после проведенного консультирования»</w:t>
      </w:r>
      <w:r>
        <w:rPr>
          <w:sz w:val="28"/>
          <w:szCs w:val="28"/>
        </w:rPr>
        <w:t xml:space="preserve"> </w:t>
      </w:r>
      <w:r w:rsidR="00DE4D8A" w:rsidRPr="00E4455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E4D8A" w:rsidRPr="00E44556">
        <w:rPr>
          <w:sz w:val="28"/>
          <w:szCs w:val="28"/>
        </w:rPr>
        <w:t>(доля врачей в оценку работы</w:t>
      </w:r>
      <w:r>
        <w:rPr>
          <w:sz w:val="28"/>
          <w:szCs w:val="28"/>
        </w:rPr>
        <w:t xml:space="preserve"> </w:t>
      </w:r>
      <w:r w:rsidR="00DE4D8A" w:rsidRPr="00E44556">
        <w:rPr>
          <w:sz w:val="28"/>
          <w:szCs w:val="28"/>
        </w:rPr>
        <w:t>включен показатель)</w:t>
      </w:r>
      <w:r>
        <w:rPr>
          <w:sz w:val="28"/>
          <w:szCs w:val="28"/>
        </w:rPr>
        <w:t xml:space="preserve"> </w:t>
      </w:r>
      <w:r w:rsidR="00DE4D8A" w:rsidRPr="00E44556">
        <w:rPr>
          <w:sz w:val="28"/>
          <w:szCs w:val="28"/>
        </w:rPr>
        <w:t>- в 100%</w:t>
      </w:r>
      <w:r>
        <w:rPr>
          <w:sz w:val="28"/>
          <w:szCs w:val="28"/>
        </w:rPr>
        <w:t>;</w:t>
      </w:r>
    </w:p>
    <w:p w:rsidR="00DE4D8A" w:rsidRDefault="00E44556" w:rsidP="00E44556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E4D8A" w:rsidRPr="00E44556">
        <w:rPr>
          <w:sz w:val="28"/>
          <w:szCs w:val="28"/>
        </w:rPr>
        <w:t>роведение информационно-просветительских мероприятий по профилактике абортов среди подростков общеобразовательных учреждений района –</w:t>
      </w:r>
      <w:r>
        <w:rPr>
          <w:sz w:val="28"/>
          <w:szCs w:val="28"/>
        </w:rPr>
        <w:t xml:space="preserve"> </w:t>
      </w:r>
      <w:r w:rsidR="00DE4D8A" w:rsidRPr="00E44556">
        <w:rPr>
          <w:sz w:val="28"/>
          <w:szCs w:val="28"/>
        </w:rPr>
        <w:t>ежегодно включен в план районного акушер-гинеколога.</w:t>
      </w:r>
    </w:p>
    <w:p w:rsidR="00E44556" w:rsidRDefault="00E44556" w:rsidP="00E44556">
      <w:pPr>
        <w:tabs>
          <w:tab w:val="left" w:pos="1134"/>
        </w:tabs>
        <w:jc w:val="both"/>
        <w:rPr>
          <w:sz w:val="28"/>
          <w:szCs w:val="28"/>
        </w:rPr>
      </w:pPr>
    </w:p>
    <w:p w:rsidR="00E44556" w:rsidRDefault="00E44556" w:rsidP="00E44556">
      <w:pPr>
        <w:tabs>
          <w:tab w:val="left" w:pos="1134"/>
        </w:tabs>
        <w:jc w:val="both"/>
        <w:rPr>
          <w:sz w:val="28"/>
          <w:szCs w:val="28"/>
        </w:rPr>
      </w:pPr>
    </w:p>
    <w:p w:rsidR="00E44556" w:rsidRDefault="00E44556" w:rsidP="00E44556">
      <w:pPr>
        <w:tabs>
          <w:tab w:val="left" w:pos="1134"/>
        </w:tabs>
        <w:jc w:val="both"/>
        <w:rPr>
          <w:sz w:val="28"/>
          <w:szCs w:val="28"/>
        </w:rPr>
      </w:pPr>
    </w:p>
    <w:p w:rsidR="00E44556" w:rsidRDefault="00E44556" w:rsidP="00E4455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врач </w:t>
      </w:r>
    </w:p>
    <w:p w:rsidR="00E44556" w:rsidRPr="00E44556" w:rsidRDefault="00E44556" w:rsidP="00E4455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КГБУЗ «Павловская ЦРБ»                                                                    О.В. Агеев</w:t>
      </w:r>
    </w:p>
    <w:p w:rsidR="00DE4D8A" w:rsidRPr="00232180" w:rsidRDefault="00E44556" w:rsidP="0023218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</w:p>
    <w:p w:rsidR="004E643F" w:rsidRDefault="00E44556" w:rsidP="00DE4D8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4E643F" w:rsidSect="00E44556">
      <w:headerReference w:type="default" r:id="rId7"/>
      <w:pgSz w:w="11909" w:h="16834" w:code="9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F56" w:rsidRDefault="00CD5F56" w:rsidP="0098702C">
      <w:r>
        <w:separator/>
      </w:r>
    </w:p>
  </w:endnote>
  <w:endnote w:type="continuationSeparator" w:id="0">
    <w:p w:rsidR="00CD5F56" w:rsidRDefault="00CD5F56" w:rsidP="00987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F56" w:rsidRDefault="00CD5F56" w:rsidP="0098702C">
      <w:r>
        <w:separator/>
      </w:r>
    </w:p>
  </w:footnote>
  <w:footnote w:type="continuationSeparator" w:id="0">
    <w:p w:rsidR="00CD5F56" w:rsidRDefault="00CD5F56" w:rsidP="00987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2C" w:rsidRDefault="00A54E6C">
    <w:pPr>
      <w:pStyle w:val="aa"/>
      <w:jc w:val="center"/>
    </w:pPr>
    <w:fldSimple w:instr="PAGE   \* MERGEFORMAT">
      <w:r w:rsidR="00E44556">
        <w:rPr>
          <w:noProof/>
        </w:rPr>
        <w:t>2</w:t>
      </w:r>
    </w:fldSimple>
  </w:p>
  <w:p w:rsidR="0098702C" w:rsidRDefault="009870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B0DD58"/>
    <w:lvl w:ilvl="0">
      <w:numFmt w:val="bullet"/>
      <w:lvlText w:val="*"/>
      <w:lvlJc w:val="left"/>
    </w:lvl>
  </w:abstractNum>
  <w:abstractNum w:abstractNumId="1">
    <w:nsid w:val="052D3626"/>
    <w:multiLevelType w:val="multilevel"/>
    <w:tmpl w:val="31AA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31153"/>
    <w:multiLevelType w:val="singleLevel"/>
    <w:tmpl w:val="84C4D48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79041BF"/>
    <w:multiLevelType w:val="hybridMultilevel"/>
    <w:tmpl w:val="D9E4AA1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0ADE241F"/>
    <w:multiLevelType w:val="hybridMultilevel"/>
    <w:tmpl w:val="E5C0A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964384"/>
    <w:multiLevelType w:val="hybridMultilevel"/>
    <w:tmpl w:val="C2C8ED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4D5BE0"/>
    <w:multiLevelType w:val="hybridMultilevel"/>
    <w:tmpl w:val="F42032A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209F19D5"/>
    <w:multiLevelType w:val="multilevel"/>
    <w:tmpl w:val="5316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4C72F8"/>
    <w:multiLevelType w:val="hybridMultilevel"/>
    <w:tmpl w:val="2DA69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4632F2"/>
    <w:multiLevelType w:val="hybridMultilevel"/>
    <w:tmpl w:val="6EF881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0610EE0"/>
    <w:multiLevelType w:val="singleLevel"/>
    <w:tmpl w:val="9F5C0302"/>
    <w:lvl w:ilvl="0">
      <w:start w:val="1"/>
      <w:numFmt w:val="decimal"/>
      <w:lvlText w:val="%1."/>
      <w:legacy w:legacy="1" w:legacySpace="0" w:legacyIndent="702"/>
      <w:lvlJc w:val="left"/>
      <w:rPr>
        <w:rFonts w:ascii="Times New Roman" w:hAnsi="Times New Roman" w:cs="Times New Roman" w:hint="default"/>
      </w:rPr>
    </w:lvl>
  </w:abstractNum>
  <w:abstractNum w:abstractNumId="11">
    <w:nsid w:val="479267E9"/>
    <w:multiLevelType w:val="hybridMultilevel"/>
    <w:tmpl w:val="55807A6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>
    <w:nsid w:val="4E985B25"/>
    <w:multiLevelType w:val="hybridMultilevel"/>
    <w:tmpl w:val="CA18B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D4611B"/>
    <w:multiLevelType w:val="hybridMultilevel"/>
    <w:tmpl w:val="48B25566"/>
    <w:lvl w:ilvl="0" w:tplc="8528F9B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602166"/>
    <w:multiLevelType w:val="multilevel"/>
    <w:tmpl w:val="D6A0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C5E93"/>
    <w:multiLevelType w:val="multilevel"/>
    <w:tmpl w:val="2EA4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9A6DDE"/>
    <w:multiLevelType w:val="multilevel"/>
    <w:tmpl w:val="5DA8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507958"/>
    <w:multiLevelType w:val="hybridMultilevel"/>
    <w:tmpl w:val="ED522B3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8">
    <w:nsid w:val="6C775544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9">
    <w:nsid w:val="73A25DD3"/>
    <w:multiLevelType w:val="singleLevel"/>
    <w:tmpl w:val="2530FEEC"/>
    <w:lvl w:ilvl="0">
      <w:start w:val="1"/>
      <w:numFmt w:val="decimal"/>
      <w:lvlText w:val="%1)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7"/>
  </w:num>
  <w:num w:numId="6">
    <w:abstractNumId w:val="11"/>
  </w:num>
  <w:num w:numId="7">
    <w:abstractNumId w:val="3"/>
  </w:num>
  <w:num w:numId="8">
    <w:abstractNumId w:val="10"/>
  </w:num>
  <w:num w:numId="9">
    <w:abstractNumId w:val="12"/>
  </w:num>
  <w:num w:numId="10">
    <w:abstractNumId w:val="9"/>
  </w:num>
  <w:num w:numId="11">
    <w:abstractNumId w:val="19"/>
  </w:num>
  <w:num w:numId="12">
    <w:abstractNumId w:val="18"/>
  </w:num>
  <w:num w:numId="13">
    <w:abstractNumId w:val="15"/>
  </w:num>
  <w:num w:numId="14">
    <w:abstractNumId w:val="1"/>
  </w:num>
  <w:num w:numId="15">
    <w:abstractNumId w:val="7"/>
  </w:num>
  <w:num w:numId="16">
    <w:abstractNumId w:val="14"/>
  </w:num>
  <w:num w:numId="17">
    <w:abstractNumId w:val="16"/>
  </w:num>
  <w:num w:numId="18">
    <w:abstractNumId w:val="4"/>
  </w:num>
  <w:num w:numId="19">
    <w:abstractNumId w:val="19"/>
    <w:lvlOverride w:ilvl="0">
      <w:startOverride w:val="1"/>
    </w:lvlOverride>
  </w:num>
  <w:num w:numId="20">
    <w:abstractNumId w:val="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4D5F"/>
    <w:rsid w:val="000268AD"/>
    <w:rsid w:val="00043F49"/>
    <w:rsid w:val="00055931"/>
    <w:rsid w:val="00060D58"/>
    <w:rsid w:val="000743CD"/>
    <w:rsid w:val="000761C1"/>
    <w:rsid w:val="000B1A85"/>
    <w:rsid w:val="000B5395"/>
    <w:rsid w:val="000E3753"/>
    <w:rsid w:val="000F6F47"/>
    <w:rsid w:val="00101C47"/>
    <w:rsid w:val="0010557D"/>
    <w:rsid w:val="0011055A"/>
    <w:rsid w:val="00116383"/>
    <w:rsid w:val="001326BC"/>
    <w:rsid w:val="00135A9F"/>
    <w:rsid w:val="00155BB3"/>
    <w:rsid w:val="0017798C"/>
    <w:rsid w:val="00181C13"/>
    <w:rsid w:val="00181CDC"/>
    <w:rsid w:val="001844E1"/>
    <w:rsid w:val="001912A3"/>
    <w:rsid w:val="00194132"/>
    <w:rsid w:val="001C6FE3"/>
    <w:rsid w:val="001D399F"/>
    <w:rsid w:val="001D7F74"/>
    <w:rsid w:val="001E224A"/>
    <w:rsid w:val="001E36E8"/>
    <w:rsid w:val="001E5330"/>
    <w:rsid w:val="001F1873"/>
    <w:rsid w:val="001F21CB"/>
    <w:rsid w:val="00201B0D"/>
    <w:rsid w:val="00203ECD"/>
    <w:rsid w:val="00210C3F"/>
    <w:rsid w:val="00214609"/>
    <w:rsid w:val="00223557"/>
    <w:rsid w:val="00230CD0"/>
    <w:rsid w:val="00232180"/>
    <w:rsid w:val="00252081"/>
    <w:rsid w:val="002651FD"/>
    <w:rsid w:val="0026523D"/>
    <w:rsid w:val="00265B07"/>
    <w:rsid w:val="00266147"/>
    <w:rsid w:val="00276750"/>
    <w:rsid w:val="00277405"/>
    <w:rsid w:val="00291ED1"/>
    <w:rsid w:val="002A50F8"/>
    <w:rsid w:val="002B50B4"/>
    <w:rsid w:val="002C3525"/>
    <w:rsid w:val="002D2FBF"/>
    <w:rsid w:val="002D640C"/>
    <w:rsid w:val="002F0146"/>
    <w:rsid w:val="002F06C8"/>
    <w:rsid w:val="002F7FBF"/>
    <w:rsid w:val="0030230D"/>
    <w:rsid w:val="00303123"/>
    <w:rsid w:val="00312E0C"/>
    <w:rsid w:val="0032072A"/>
    <w:rsid w:val="0032369B"/>
    <w:rsid w:val="00325404"/>
    <w:rsid w:val="00325910"/>
    <w:rsid w:val="00337CBC"/>
    <w:rsid w:val="0034156C"/>
    <w:rsid w:val="00346BCF"/>
    <w:rsid w:val="00356FE7"/>
    <w:rsid w:val="00357F96"/>
    <w:rsid w:val="003650E4"/>
    <w:rsid w:val="00385FEA"/>
    <w:rsid w:val="003D5947"/>
    <w:rsid w:val="003E105E"/>
    <w:rsid w:val="003F2EB9"/>
    <w:rsid w:val="004012C6"/>
    <w:rsid w:val="00405277"/>
    <w:rsid w:val="0041021E"/>
    <w:rsid w:val="004108A1"/>
    <w:rsid w:val="00431F80"/>
    <w:rsid w:val="00454A9F"/>
    <w:rsid w:val="004827CE"/>
    <w:rsid w:val="004964DA"/>
    <w:rsid w:val="0049653A"/>
    <w:rsid w:val="00496881"/>
    <w:rsid w:val="00497876"/>
    <w:rsid w:val="004A056D"/>
    <w:rsid w:val="004C2699"/>
    <w:rsid w:val="004D45EB"/>
    <w:rsid w:val="004D5491"/>
    <w:rsid w:val="004E5D13"/>
    <w:rsid w:val="004E643F"/>
    <w:rsid w:val="004F2227"/>
    <w:rsid w:val="00500516"/>
    <w:rsid w:val="00525FBD"/>
    <w:rsid w:val="00530186"/>
    <w:rsid w:val="00531254"/>
    <w:rsid w:val="00531D46"/>
    <w:rsid w:val="00543FA7"/>
    <w:rsid w:val="00555903"/>
    <w:rsid w:val="00560A35"/>
    <w:rsid w:val="005615F5"/>
    <w:rsid w:val="005716FE"/>
    <w:rsid w:val="005B08CD"/>
    <w:rsid w:val="005B7C6C"/>
    <w:rsid w:val="005C35D4"/>
    <w:rsid w:val="005D586B"/>
    <w:rsid w:val="00600991"/>
    <w:rsid w:val="006057B4"/>
    <w:rsid w:val="006067A2"/>
    <w:rsid w:val="00614235"/>
    <w:rsid w:val="0063014D"/>
    <w:rsid w:val="006322D5"/>
    <w:rsid w:val="00633F8D"/>
    <w:rsid w:val="00645C41"/>
    <w:rsid w:val="00655FB7"/>
    <w:rsid w:val="00657835"/>
    <w:rsid w:val="006704AC"/>
    <w:rsid w:val="00691B23"/>
    <w:rsid w:val="006952CB"/>
    <w:rsid w:val="006A0588"/>
    <w:rsid w:val="006B2EDF"/>
    <w:rsid w:val="006B2FE2"/>
    <w:rsid w:val="006E2327"/>
    <w:rsid w:val="006F6914"/>
    <w:rsid w:val="007434D8"/>
    <w:rsid w:val="00744D4F"/>
    <w:rsid w:val="0075201C"/>
    <w:rsid w:val="00754E5A"/>
    <w:rsid w:val="00763CA1"/>
    <w:rsid w:val="007702B5"/>
    <w:rsid w:val="00776413"/>
    <w:rsid w:val="00777DD4"/>
    <w:rsid w:val="00790FC6"/>
    <w:rsid w:val="00796FCA"/>
    <w:rsid w:val="007A3583"/>
    <w:rsid w:val="007A466B"/>
    <w:rsid w:val="007D009F"/>
    <w:rsid w:val="007E03B2"/>
    <w:rsid w:val="007F0384"/>
    <w:rsid w:val="00803BE1"/>
    <w:rsid w:val="00826982"/>
    <w:rsid w:val="0083278B"/>
    <w:rsid w:val="008344C1"/>
    <w:rsid w:val="00856E18"/>
    <w:rsid w:val="00860147"/>
    <w:rsid w:val="00865FE2"/>
    <w:rsid w:val="00871852"/>
    <w:rsid w:val="00873222"/>
    <w:rsid w:val="008760C9"/>
    <w:rsid w:val="00886F35"/>
    <w:rsid w:val="008A0A9C"/>
    <w:rsid w:val="008A5163"/>
    <w:rsid w:val="008B38DB"/>
    <w:rsid w:val="008E06CD"/>
    <w:rsid w:val="00920CBA"/>
    <w:rsid w:val="00924E8E"/>
    <w:rsid w:val="009623FD"/>
    <w:rsid w:val="00965D23"/>
    <w:rsid w:val="009732C7"/>
    <w:rsid w:val="00973C38"/>
    <w:rsid w:val="00977ED3"/>
    <w:rsid w:val="0098702C"/>
    <w:rsid w:val="00990875"/>
    <w:rsid w:val="009A1324"/>
    <w:rsid w:val="009A3B8B"/>
    <w:rsid w:val="009B30C5"/>
    <w:rsid w:val="009F4565"/>
    <w:rsid w:val="00A21FA9"/>
    <w:rsid w:val="00A30C5F"/>
    <w:rsid w:val="00A35585"/>
    <w:rsid w:val="00A4577A"/>
    <w:rsid w:val="00A54E6C"/>
    <w:rsid w:val="00A55358"/>
    <w:rsid w:val="00A66545"/>
    <w:rsid w:val="00A67102"/>
    <w:rsid w:val="00A7101C"/>
    <w:rsid w:val="00A72050"/>
    <w:rsid w:val="00A75BA8"/>
    <w:rsid w:val="00A83605"/>
    <w:rsid w:val="00A979C6"/>
    <w:rsid w:val="00AB28CD"/>
    <w:rsid w:val="00AB7AA0"/>
    <w:rsid w:val="00AE1F50"/>
    <w:rsid w:val="00AE597C"/>
    <w:rsid w:val="00B04C91"/>
    <w:rsid w:val="00B06C7E"/>
    <w:rsid w:val="00B25A92"/>
    <w:rsid w:val="00B55F0E"/>
    <w:rsid w:val="00B6535A"/>
    <w:rsid w:val="00B720FD"/>
    <w:rsid w:val="00B96899"/>
    <w:rsid w:val="00BA4723"/>
    <w:rsid w:val="00BB20EC"/>
    <w:rsid w:val="00BD08DE"/>
    <w:rsid w:val="00BD3FE3"/>
    <w:rsid w:val="00BD5BCF"/>
    <w:rsid w:val="00BE0F64"/>
    <w:rsid w:val="00BE261D"/>
    <w:rsid w:val="00BF1413"/>
    <w:rsid w:val="00BF4B76"/>
    <w:rsid w:val="00C041B3"/>
    <w:rsid w:val="00C04D5F"/>
    <w:rsid w:val="00C176D6"/>
    <w:rsid w:val="00C17BAE"/>
    <w:rsid w:val="00C2201E"/>
    <w:rsid w:val="00C66A89"/>
    <w:rsid w:val="00C66B38"/>
    <w:rsid w:val="00C7558D"/>
    <w:rsid w:val="00C7562B"/>
    <w:rsid w:val="00C9050E"/>
    <w:rsid w:val="00CA12A2"/>
    <w:rsid w:val="00CA55DE"/>
    <w:rsid w:val="00CA59F8"/>
    <w:rsid w:val="00CA5F0D"/>
    <w:rsid w:val="00CA64DB"/>
    <w:rsid w:val="00CD4335"/>
    <w:rsid w:val="00CD4A3B"/>
    <w:rsid w:val="00CD5F56"/>
    <w:rsid w:val="00CF30A8"/>
    <w:rsid w:val="00D34142"/>
    <w:rsid w:val="00D43649"/>
    <w:rsid w:val="00D43C4F"/>
    <w:rsid w:val="00DA2EED"/>
    <w:rsid w:val="00DA4D38"/>
    <w:rsid w:val="00DB0D21"/>
    <w:rsid w:val="00DB0FA9"/>
    <w:rsid w:val="00DB215D"/>
    <w:rsid w:val="00DC45A8"/>
    <w:rsid w:val="00DC752A"/>
    <w:rsid w:val="00DE16F9"/>
    <w:rsid w:val="00DE4D8A"/>
    <w:rsid w:val="00DE69EA"/>
    <w:rsid w:val="00DF0BF4"/>
    <w:rsid w:val="00E209C8"/>
    <w:rsid w:val="00E23BE9"/>
    <w:rsid w:val="00E23E9C"/>
    <w:rsid w:val="00E44556"/>
    <w:rsid w:val="00E45240"/>
    <w:rsid w:val="00E452B1"/>
    <w:rsid w:val="00E46FC6"/>
    <w:rsid w:val="00E52476"/>
    <w:rsid w:val="00E561B5"/>
    <w:rsid w:val="00E62FFB"/>
    <w:rsid w:val="00E71031"/>
    <w:rsid w:val="00E73498"/>
    <w:rsid w:val="00E74A82"/>
    <w:rsid w:val="00E92500"/>
    <w:rsid w:val="00EA6BF5"/>
    <w:rsid w:val="00EC3576"/>
    <w:rsid w:val="00EE5507"/>
    <w:rsid w:val="00EF4EC6"/>
    <w:rsid w:val="00F10251"/>
    <w:rsid w:val="00F143E0"/>
    <w:rsid w:val="00F205E9"/>
    <w:rsid w:val="00F24F72"/>
    <w:rsid w:val="00F41628"/>
    <w:rsid w:val="00F649EB"/>
    <w:rsid w:val="00F872C9"/>
    <w:rsid w:val="00F87593"/>
    <w:rsid w:val="00F87A77"/>
    <w:rsid w:val="00FB4C8B"/>
    <w:rsid w:val="00FC6606"/>
    <w:rsid w:val="00FD1ACB"/>
    <w:rsid w:val="00FD58BA"/>
    <w:rsid w:val="00FD5A19"/>
    <w:rsid w:val="00FE21E4"/>
    <w:rsid w:val="00FE33A3"/>
    <w:rsid w:val="00FE4B85"/>
    <w:rsid w:val="00FF05B4"/>
    <w:rsid w:val="00FF0F40"/>
    <w:rsid w:val="00FF1913"/>
    <w:rsid w:val="00FF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FF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EB9"/>
    <w:pPr>
      <w:ind w:left="720"/>
      <w:contextualSpacing/>
    </w:pPr>
  </w:style>
  <w:style w:type="paragraph" w:customStyle="1" w:styleId="1">
    <w:name w:val="Без интервала1"/>
    <w:rsid w:val="000761C1"/>
    <w:rPr>
      <w:sz w:val="24"/>
      <w:szCs w:val="24"/>
    </w:rPr>
  </w:style>
  <w:style w:type="paragraph" w:styleId="a4">
    <w:name w:val="Normal (Web)"/>
    <w:basedOn w:val="a"/>
    <w:uiPriority w:val="99"/>
    <w:rsid w:val="00A66545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/>
      <w:color w:val="00000A"/>
      <w:sz w:val="22"/>
      <w:szCs w:val="22"/>
      <w:lang w:eastAsia="en-US"/>
    </w:rPr>
  </w:style>
  <w:style w:type="character" w:styleId="a5">
    <w:name w:val="Strong"/>
    <w:uiPriority w:val="22"/>
    <w:qFormat/>
    <w:rsid w:val="00965D23"/>
    <w:rPr>
      <w:b/>
      <w:bCs/>
    </w:rPr>
  </w:style>
  <w:style w:type="paragraph" w:customStyle="1" w:styleId="consnormal">
    <w:name w:val="consnormal"/>
    <w:basedOn w:val="a"/>
    <w:rsid w:val="00965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965D23"/>
    <w:rPr>
      <w:color w:val="0000FF"/>
      <w:u w:val="single"/>
    </w:rPr>
  </w:style>
  <w:style w:type="character" w:styleId="a7">
    <w:name w:val="Emphasis"/>
    <w:uiPriority w:val="20"/>
    <w:qFormat/>
    <w:rsid w:val="00965D23"/>
    <w:rPr>
      <w:i/>
      <w:iCs/>
    </w:rPr>
  </w:style>
  <w:style w:type="paragraph" w:customStyle="1" w:styleId="20">
    <w:name w:val="20"/>
    <w:basedOn w:val="a"/>
    <w:rsid w:val="00965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965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744D4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4D4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9870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702C"/>
  </w:style>
  <w:style w:type="paragraph" w:styleId="ac">
    <w:name w:val="footer"/>
    <w:basedOn w:val="a"/>
    <w:link w:val="ad"/>
    <w:rsid w:val="009870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8702C"/>
  </w:style>
  <w:style w:type="paragraph" w:customStyle="1" w:styleId="2">
    <w:name w:val="Без интервала2"/>
    <w:rsid w:val="00346BCF"/>
    <w:rPr>
      <w:sz w:val="24"/>
      <w:szCs w:val="24"/>
    </w:rPr>
  </w:style>
  <w:style w:type="paragraph" w:styleId="ae">
    <w:name w:val="Body Text"/>
    <w:basedOn w:val="a"/>
    <w:link w:val="af"/>
    <w:rsid w:val="00EA6BF5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f">
    <w:name w:val="Основной текст Знак"/>
    <w:basedOn w:val="a0"/>
    <w:link w:val="ae"/>
    <w:rsid w:val="00EA6BF5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BronzaOI</cp:lastModifiedBy>
  <cp:revision>3</cp:revision>
  <cp:lastPrinted>2023-02-06T13:28:00Z</cp:lastPrinted>
  <dcterms:created xsi:type="dcterms:W3CDTF">2023-02-06T11:57:00Z</dcterms:created>
  <dcterms:modified xsi:type="dcterms:W3CDTF">2023-02-06T13:28:00Z</dcterms:modified>
</cp:coreProperties>
</file>